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eastAsia="微软简标宋"/>
          <w:sz w:val="44"/>
          <w:szCs w:val="44"/>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山行审〔2021〕12号</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jc w:val="center"/>
        <w:rPr>
          <w:rFonts w:hint="eastAsia" w:ascii="方正小标宋简体" w:hAnsi="方正小标宋简体" w:eastAsia="方正小标宋简体" w:cs="方正小标宋简体"/>
          <w:b w:val="0"/>
          <w:bCs/>
          <w:snapToGrid w:val="0"/>
          <w:color w:val="000000"/>
          <w:kern w:val="0"/>
          <w:sz w:val="44"/>
          <w:szCs w:val="44"/>
          <w:lang w:val="en-US" w:eastAsia="zh-CN" w:bidi="ar-SA"/>
        </w:rPr>
      </w:pPr>
      <w:r>
        <w:rPr>
          <w:rFonts w:hint="eastAsia" w:ascii="方正小标宋简体" w:hAnsi="方正小标宋简体" w:eastAsia="方正小标宋简体" w:cs="方正小标宋简体"/>
          <w:b w:val="0"/>
          <w:bCs/>
          <w:snapToGrid w:val="0"/>
          <w:color w:val="000000"/>
          <w:kern w:val="0"/>
          <w:sz w:val="44"/>
          <w:szCs w:val="44"/>
          <w:lang w:val="en-US" w:eastAsia="zh-CN" w:bidi="ar-SA"/>
        </w:rPr>
        <w:t>关于贯彻落实全区“工业强区、产业兴区”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jc w:val="center"/>
        <w:rPr>
          <w:rFonts w:hint="eastAsia" w:ascii="方正小标宋简体" w:hAnsi="方正小标宋简体" w:eastAsia="方正小标宋简体" w:cs="方正小标宋简体"/>
          <w:b w:val="0"/>
          <w:bCs/>
          <w:snapToGrid w:val="0"/>
          <w:color w:val="000000"/>
          <w:kern w:val="0"/>
          <w:sz w:val="44"/>
          <w:szCs w:val="44"/>
          <w:lang w:val="en-US" w:eastAsia="zh-CN" w:bidi="ar-SA"/>
        </w:rPr>
      </w:pPr>
      <w:r>
        <w:rPr>
          <w:rFonts w:hint="eastAsia" w:ascii="方正小标宋简体" w:hAnsi="方正小标宋简体" w:eastAsia="方正小标宋简体" w:cs="方正小标宋简体"/>
          <w:b w:val="0"/>
          <w:bCs/>
          <w:snapToGrid w:val="0"/>
          <w:color w:val="000000"/>
          <w:kern w:val="0"/>
          <w:sz w:val="44"/>
          <w:szCs w:val="44"/>
          <w:lang w:val="en-US" w:eastAsia="zh-CN" w:bidi="ar-SA"/>
        </w:rPr>
        <w:t>三年攻坚突破行动高质量打造“亭好办”政务</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jc w:val="center"/>
        <w:rPr>
          <w:rFonts w:hint="eastAsia" w:ascii="方正小标宋简体" w:hAnsi="方正小标宋简体" w:eastAsia="方正小标宋简体" w:cs="方正小标宋简体"/>
          <w:b w:val="0"/>
          <w:bCs/>
          <w:snapToGrid w:val="0"/>
          <w:color w:val="000000"/>
          <w:kern w:val="0"/>
          <w:sz w:val="44"/>
          <w:szCs w:val="44"/>
          <w:lang w:val="en-US" w:eastAsia="zh-CN" w:bidi="ar-SA"/>
        </w:rPr>
      </w:pPr>
      <w:r>
        <w:rPr>
          <w:rFonts w:hint="eastAsia" w:ascii="方正小标宋简体" w:hAnsi="方正小标宋简体" w:eastAsia="方正小标宋简体" w:cs="方正小标宋简体"/>
          <w:b w:val="0"/>
          <w:bCs/>
          <w:snapToGrid w:val="0"/>
          <w:color w:val="000000"/>
          <w:kern w:val="0"/>
          <w:sz w:val="44"/>
          <w:szCs w:val="44"/>
          <w:lang w:val="en-US" w:eastAsia="zh-CN" w:bidi="ar-SA"/>
        </w:rPr>
        <w:t>服务品牌实施方案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both"/>
        <w:textAlignment w:val="baseline"/>
        <w:rPr>
          <w:rFonts w:hint="eastAsia" w:ascii="方正小标宋简体" w:hAnsi="方正小标宋简体" w:eastAsia="方正小标宋简体" w:cs="方正小标宋简体"/>
          <w:b w:val="0"/>
          <w:bCs/>
          <w:snapToGrid w:val="0"/>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baseline"/>
        <w:rPr>
          <w:rFonts w:hint="default" w:ascii="仿宋_GB2312" w:hAnsi="楷体_GB2312" w:eastAsia="仿宋_GB2312" w:cs="楷体_GB2312"/>
          <w:b w:val="0"/>
          <w:bCs/>
          <w:i w:val="0"/>
          <w:iCs/>
          <w:snapToGrid w:val="0"/>
          <w:kern w:val="0"/>
          <w:sz w:val="32"/>
          <w:szCs w:val="32"/>
          <w:u w:val="none"/>
          <w:lang w:val="en-US" w:eastAsia="zh-CN" w:bidi="ar-SA"/>
        </w:rPr>
      </w:pPr>
      <w:r>
        <w:rPr>
          <w:rFonts w:hint="eastAsia" w:ascii="仿宋_GB2312" w:hAnsi="楷体_GB2312" w:eastAsia="仿宋_GB2312" w:cs="楷体_GB2312"/>
          <w:b w:val="0"/>
          <w:bCs/>
          <w:i w:val="0"/>
          <w:iCs/>
          <w:snapToGrid w:val="0"/>
          <w:kern w:val="0"/>
          <w:sz w:val="32"/>
          <w:szCs w:val="32"/>
          <w:u w:val="none"/>
          <w:lang w:val="en-US" w:eastAsia="zh-CN" w:bidi="ar-SA"/>
        </w:rPr>
        <w:t>各股室（组）、中心：</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default" w:hAnsi="楷体_GB2312" w:cs="楷体_GB2312"/>
          <w:b w:val="0"/>
          <w:bCs/>
          <w:i w:val="0"/>
          <w:iCs/>
          <w:snapToGrid w:val="0"/>
          <w:kern w:val="0"/>
          <w:sz w:val="32"/>
          <w:szCs w:val="32"/>
          <w:u w:val="none"/>
          <w:lang w:val="en-US" w:eastAsia="zh-CN"/>
        </w:rPr>
      </w:pPr>
      <w:r>
        <w:rPr>
          <w:rFonts w:hint="eastAsia" w:ascii="仿宋_GB2312" w:hAnsi="楷体_GB2312" w:eastAsia="仿宋_GB2312" w:cs="楷体_GB2312"/>
          <w:b w:val="0"/>
          <w:bCs/>
          <w:i w:val="0"/>
          <w:iCs/>
          <w:snapToGrid w:val="0"/>
          <w:kern w:val="0"/>
          <w:sz w:val="32"/>
          <w:szCs w:val="32"/>
          <w:u w:val="none"/>
          <w:lang w:eastAsia="zh-CN"/>
        </w:rPr>
        <w:t>为</w:t>
      </w:r>
      <w:r>
        <w:rPr>
          <w:rFonts w:hint="eastAsia" w:hAnsi="楷体_GB2312" w:cs="楷体_GB2312"/>
          <w:b w:val="0"/>
          <w:bCs/>
          <w:i w:val="0"/>
          <w:iCs/>
          <w:snapToGrid w:val="0"/>
          <w:kern w:val="0"/>
          <w:sz w:val="32"/>
          <w:szCs w:val="32"/>
          <w:u w:val="none"/>
          <w:lang w:eastAsia="zh-CN"/>
        </w:rPr>
        <w:t>全面贯彻落实全</w:t>
      </w:r>
      <w:r>
        <w:rPr>
          <w:rFonts w:hint="eastAsia" w:hAnsi="楷体_GB2312" w:cs="楷体_GB2312"/>
          <w:b w:val="0"/>
          <w:bCs/>
          <w:i w:val="0"/>
          <w:iCs/>
          <w:snapToGrid w:val="0"/>
          <w:kern w:val="0"/>
          <w:sz w:val="32"/>
          <w:szCs w:val="32"/>
          <w:u w:val="none"/>
          <w:lang w:val="en-US" w:eastAsia="zh-CN"/>
        </w:rPr>
        <w:t>区</w:t>
      </w:r>
      <w:r>
        <w:rPr>
          <w:rFonts w:hint="eastAsia" w:ascii="仿宋_GB2312" w:hAnsi="楷体_GB2312" w:eastAsia="仿宋_GB2312" w:cs="楷体_GB2312"/>
          <w:b w:val="0"/>
          <w:bCs/>
          <w:i w:val="0"/>
          <w:iCs/>
          <w:snapToGrid w:val="0"/>
          <w:kern w:val="0"/>
          <w:sz w:val="32"/>
          <w:szCs w:val="32"/>
          <w:u w:val="none"/>
          <w:lang w:eastAsia="zh-CN"/>
        </w:rPr>
        <w:t>“工业强</w:t>
      </w:r>
      <w:r>
        <w:rPr>
          <w:rFonts w:hint="eastAsia" w:hAnsi="楷体_GB2312" w:cs="楷体_GB2312"/>
          <w:b w:val="0"/>
          <w:bCs/>
          <w:i w:val="0"/>
          <w:iCs/>
          <w:snapToGrid w:val="0"/>
          <w:kern w:val="0"/>
          <w:sz w:val="32"/>
          <w:szCs w:val="32"/>
          <w:u w:val="none"/>
          <w:lang w:val="en-US" w:eastAsia="zh-CN"/>
        </w:rPr>
        <w:t>区</w:t>
      </w:r>
      <w:r>
        <w:rPr>
          <w:rFonts w:hint="eastAsia" w:ascii="仿宋_GB2312" w:hAnsi="楷体_GB2312" w:eastAsia="仿宋_GB2312" w:cs="楷体_GB2312"/>
          <w:b w:val="0"/>
          <w:bCs/>
          <w:i w:val="0"/>
          <w:iCs/>
          <w:snapToGrid w:val="0"/>
          <w:kern w:val="0"/>
          <w:sz w:val="32"/>
          <w:szCs w:val="32"/>
          <w:u w:val="none"/>
          <w:lang w:eastAsia="zh-CN"/>
        </w:rPr>
        <w:t>、产业兴</w:t>
      </w:r>
      <w:r>
        <w:rPr>
          <w:rFonts w:hint="eastAsia" w:hAnsi="楷体_GB2312" w:cs="楷体_GB2312"/>
          <w:b w:val="0"/>
          <w:bCs/>
          <w:i w:val="0"/>
          <w:iCs/>
          <w:snapToGrid w:val="0"/>
          <w:kern w:val="0"/>
          <w:sz w:val="32"/>
          <w:szCs w:val="32"/>
          <w:u w:val="none"/>
          <w:lang w:eastAsia="zh-CN"/>
        </w:rPr>
        <w:t>区</w:t>
      </w:r>
      <w:r>
        <w:rPr>
          <w:rFonts w:hint="eastAsia" w:ascii="仿宋_GB2312" w:hAnsi="楷体_GB2312" w:eastAsia="仿宋_GB2312" w:cs="楷体_GB2312"/>
          <w:b w:val="0"/>
          <w:bCs/>
          <w:i w:val="0"/>
          <w:iCs/>
          <w:snapToGrid w:val="0"/>
          <w:kern w:val="0"/>
          <w:sz w:val="32"/>
          <w:szCs w:val="32"/>
          <w:u w:val="none"/>
          <w:lang w:eastAsia="zh-CN"/>
        </w:rPr>
        <w:t>”战略，聚焦“先把经济搞上去、集中精力强工业”</w:t>
      </w:r>
      <w:r>
        <w:rPr>
          <w:rFonts w:hint="eastAsia" w:hAnsi="楷体_GB2312" w:cs="楷体_GB2312"/>
          <w:b w:val="0"/>
          <w:bCs/>
          <w:i w:val="0"/>
          <w:iCs/>
          <w:snapToGrid w:val="0"/>
          <w:kern w:val="0"/>
          <w:sz w:val="32"/>
          <w:szCs w:val="32"/>
          <w:u w:val="none"/>
          <w:lang w:eastAsia="zh-CN"/>
        </w:rPr>
        <w:t>方向，高质量打造“</w:t>
      </w:r>
      <w:r>
        <w:rPr>
          <w:rFonts w:hint="eastAsia" w:hAnsi="楷体_GB2312" w:cs="楷体_GB2312"/>
          <w:b w:val="0"/>
          <w:bCs/>
          <w:i w:val="0"/>
          <w:iCs/>
          <w:snapToGrid w:val="0"/>
          <w:kern w:val="0"/>
          <w:sz w:val="32"/>
          <w:szCs w:val="32"/>
          <w:u w:val="none"/>
          <w:lang w:val="en-US" w:eastAsia="zh-CN"/>
        </w:rPr>
        <w:t>亭好办</w:t>
      </w:r>
      <w:r>
        <w:rPr>
          <w:rFonts w:hint="eastAsia" w:hAnsi="楷体_GB2312" w:cs="楷体_GB2312"/>
          <w:b w:val="0"/>
          <w:bCs/>
          <w:i w:val="0"/>
          <w:iCs/>
          <w:snapToGrid w:val="0"/>
          <w:kern w:val="0"/>
          <w:sz w:val="32"/>
          <w:szCs w:val="32"/>
          <w:u w:val="none"/>
          <w:lang w:eastAsia="zh-CN"/>
        </w:rPr>
        <w:t>”政务服务品牌，推动政务服务提质增效，优化营商环境，</w:t>
      </w:r>
      <w:r>
        <w:rPr>
          <w:rFonts w:hint="eastAsia" w:hAnsi="楷体_GB2312" w:cs="楷体_GB2312"/>
          <w:b w:val="0"/>
          <w:bCs/>
          <w:i w:val="0"/>
          <w:iCs/>
          <w:snapToGrid w:val="0"/>
          <w:kern w:val="0"/>
          <w:sz w:val="32"/>
          <w:szCs w:val="32"/>
          <w:u w:val="none"/>
          <w:lang w:val="en-US" w:eastAsia="zh-CN"/>
        </w:rPr>
        <w:t>特</w:t>
      </w:r>
      <w:r>
        <w:rPr>
          <w:rFonts w:hint="eastAsia" w:hAnsi="楷体_GB2312" w:cs="楷体_GB2312"/>
          <w:b w:val="0"/>
          <w:bCs/>
          <w:i w:val="0"/>
          <w:iCs/>
          <w:snapToGrid w:val="0"/>
          <w:kern w:val="0"/>
          <w:sz w:val="32"/>
          <w:szCs w:val="32"/>
          <w:u w:val="none"/>
          <w:lang w:eastAsia="zh-CN"/>
        </w:rPr>
        <w:t>制定本</w:t>
      </w:r>
      <w:r>
        <w:rPr>
          <w:rFonts w:hint="eastAsia" w:hAnsi="楷体_GB2312" w:cs="楷体_GB2312"/>
          <w:b w:val="0"/>
          <w:bCs/>
          <w:i w:val="0"/>
          <w:iCs/>
          <w:snapToGrid w:val="0"/>
          <w:kern w:val="0"/>
          <w:sz w:val="32"/>
          <w:szCs w:val="32"/>
          <w:u w:val="none"/>
          <w:lang w:val="en-US" w:eastAsia="zh-CN"/>
        </w:rPr>
        <w:t>实施</w:t>
      </w:r>
      <w:r>
        <w:rPr>
          <w:rFonts w:hint="eastAsia" w:hAnsi="楷体_GB2312" w:cs="楷体_GB2312"/>
          <w:b w:val="0"/>
          <w:bCs/>
          <w:i w:val="0"/>
          <w:iCs/>
          <w:snapToGrid w:val="0"/>
          <w:kern w:val="0"/>
          <w:sz w:val="32"/>
          <w:szCs w:val="32"/>
          <w:u w:val="none"/>
          <w:lang w:eastAsia="zh-CN"/>
        </w:rPr>
        <w:t>方案。</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黑体" w:hAnsi="黑体" w:eastAsia="黑体" w:cs="黑体"/>
          <w:b w:val="0"/>
          <w:bCs/>
          <w:i w:val="0"/>
          <w:iCs/>
          <w:snapToGrid w:val="0"/>
          <w:kern w:val="0"/>
          <w:sz w:val="32"/>
          <w:szCs w:val="32"/>
          <w:u w:val="none"/>
          <w:lang w:eastAsia="zh-CN"/>
        </w:rPr>
      </w:pPr>
      <w:r>
        <w:rPr>
          <w:rFonts w:hint="eastAsia" w:ascii="黑体" w:hAnsi="黑体" w:eastAsia="黑体" w:cs="黑体"/>
          <w:b w:val="0"/>
          <w:bCs/>
          <w:i w:val="0"/>
          <w:iCs/>
          <w:snapToGrid w:val="0"/>
          <w:kern w:val="0"/>
          <w:sz w:val="32"/>
          <w:szCs w:val="32"/>
          <w:u w:val="none"/>
          <w:lang w:eastAsia="zh-CN"/>
        </w:rPr>
        <w:t>一、总体目标</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hAnsi="楷体_GB2312" w:cs="楷体_GB2312"/>
          <w:b w:val="0"/>
          <w:bCs/>
          <w:i w:val="0"/>
          <w:iCs/>
          <w:snapToGrid w:val="0"/>
          <w:kern w:val="0"/>
          <w:sz w:val="32"/>
          <w:szCs w:val="32"/>
          <w:u w:val="none"/>
          <w:lang w:val="en-US" w:eastAsia="zh-CN"/>
        </w:rPr>
      </w:pPr>
      <w:r>
        <w:rPr>
          <w:rFonts w:hint="eastAsia" w:hAnsi="楷体_GB2312" w:cs="楷体_GB2312"/>
          <w:b w:val="0"/>
          <w:bCs/>
          <w:i w:val="0"/>
          <w:iCs/>
          <w:snapToGrid w:val="0"/>
          <w:kern w:val="0"/>
          <w:sz w:val="32"/>
          <w:szCs w:val="32"/>
          <w:u w:val="none"/>
          <w:lang w:eastAsia="zh-CN"/>
        </w:rPr>
        <w:t>按照全</w:t>
      </w:r>
      <w:r>
        <w:rPr>
          <w:rFonts w:hint="eastAsia" w:hAnsi="楷体_GB2312" w:cs="楷体_GB2312"/>
          <w:b w:val="0"/>
          <w:bCs/>
          <w:i w:val="0"/>
          <w:iCs/>
          <w:snapToGrid w:val="0"/>
          <w:kern w:val="0"/>
          <w:sz w:val="32"/>
          <w:szCs w:val="32"/>
          <w:u w:val="none"/>
          <w:lang w:val="en-US" w:eastAsia="zh-CN"/>
        </w:rPr>
        <w:t>区</w:t>
      </w:r>
      <w:r>
        <w:rPr>
          <w:rFonts w:hint="eastAsia" w:hAnsi="楷体_GB2312" w:cs="楷体_GB2312"/>
          <w:b w:val="0"/>
          <w:bCs/>
          <w:i w:val="0"/>
          <w:iCs/>
          <w:snapToGrid w:val="0"/>
          <w:kern w:val="0"/>
          <w:sz w:val="32"/>
          <w:szCs w:val="32"/>
          <w:u w:val="none"/>
          <w:lang w:eastAsia="zh-CN"/>
        </w:rPr>
        <w:t>“工业强</w:t>
      </w:r>
      <w:r>
        <w:rPr>
          <w:rFonts w:hint="eastAsia" w:hAnsi="楷体_GB2312" w:cs="楷体_GB2312"/>
          <w:b w:val="0"/>
          <w:bCs/>
          <w:i w:val="0"/>
          <w:iCs/>
          <w:snapToGrid w:val="0"/>
          <w:kern w:val="0"/>
          <w:sz w:val="32"/>
          <w:szCs w:val="32"/>
          <w:u w:val="none"/>
          <w:lang w:val="en-US" w:eastAsia="zh-CN"/>
        </w:rPr>
        <w:t>区</w:t>
      </w:r>
      <w:r>
        <w:rPr>
          <w:rFonts w:hint="eastAsia" w:hAnsi="楷体_GB2312" w:cs="楷体_GB2312"/>
          <w:b w:val="0"/>
          <w:bCs/>
          <w:i w:val="0"/>
          <w:iCs/>
          <w:snapToGrid w:val="0"/>
          <w:kern w:val="0"/>
          <w:sz w:val="32"/>
          <w:szCs w:val="32"/>
          <w:u w:val="none"/>
          <w:lang w:eastAsia="zh-CN"/>
        </w:rPr>
        <w:t>、产业兴</w:t>
      </w:r>
      <w:r>
        <w:rPr>
          <w:rFonts w:hint="eastAsia" w:hAnsi="楷体_GB2312" w:cs="楷体_GB2312"/>
          <w:b w:val="0"/>
          <w:bCs/>
          <w:i w:val="0"/>
          <w:iCs/>
          <w:snapToGrid w:val="0"/>
          <w:kern w:val="0"/>
          <w:sz w:val="32"/>
          <w:szCs w:val="32"/>
          <w:u w:val="none"/>
          <w:lang w:val="en-US" w:eastAsia="zh-CN"/>
        </w:rPr>
        <w:t>区</w:t>
      </w:r>
      <w:r>
        <w:rPr>
          <w:rFonts w:hint="eastAsia" w:hAnsi="楷体_GB2312" w:cs="楷体_GB2312"/>
          <w:b w:val="0"/>
          <w:bCs/>
          <w:i w:val="0"/>
          <w:iCs/>
          <w:snapToGrid w:val="0"/>
          <w:kern w:val="0"/>
          <w:sz w:val="32"/>
          <w:szCs w:val="32"/>
          <w:u w:val="none"/>
          <w:lang w:eastAsia="zh-CN"/>
        </w:rPr>
        <w:t>”三年攻坚突破行动统一部署，</w:t>
      </w:r>
      <w:r>
        <w:rPr>
          <w:rFonts w:hint="eastAsia" w:hAnsi="楷体_GB2312" w:cs="楷体_GB2312"/>
          <w:b w:val="0"/>
          <w:bCs/>
          <w:i w:val="0"/>
          <w:iCs/>
          <w:snapToGrid w:val="0"/>
          <w:kern w:val="0"/>
          <w:sz w:val="32"/>
          <w:szCs w:val="32"/>
          <w:u w:val="none"/>
          <w:lang w:val="en-US" w:eastAsia="zh-CN"/>
        </w:rPr>
        <w:t>牢固树立“以人民为中心”的工作理念，</w:t>
      </w:r>
      <w:r>
        <w:rPr>
          <w:rFonts w:hint="eastAsia" w:hAnsi="楷体_GB2312" w:cs="楷体_GB2312"/>
          <w:b w:val="0"/>
          <w:bCs/>
          <w:i w:val="0"/>
          <w:iCs/>
          <w:snapToGrid w:val="0"/>
          <w:kern w:val="0"/>
          <w:sz w:val="32"/>
          <w:szCs w:val="32"/>
          <w:u w:val="none"/>
          <w:lang w:eastAsia="zh-CN"/>
        </w:rPr>
        <w:t>紧紧围绕行政审批提速、管理创新提标、服务效能提质、队伍建设提效工作目标，</w:t>
      </w:r>
      <w:r>
        <w:rPr>
          <w:rFonts w:hint="eastAsia" w:hAnsi="楷体_GB2312" w:cs="楷体_GB2312"/>
          <w:b w:val="0"/>
          <w:bCs/>
          <w:i w:val="0"/>
          <w:iCs/>
          <w:snapToGrid w:val="0"/>
          <w:kern w:val="0"/>
          <w:sz w:val="32"/>
          <w:szCs w:val="32"/>
          <w:u w:val="none"/>
          <w:lang w:val="en-US" w:eastAsia="zh-CN"/>
        </w:rPr>
        <w:t>持续深化“放管服”改革，不断推进审批服务“换代升级”，最大限度实施“一次办好”，努力打造“国内领先、省内一流”的营商环境，凝心聚力推动三年攻坚突破行动破题起势、塑成优势，</w:t>
      </w:r>
      <w:r>
        <w:rPr>
          <w:rFonts w:hint="eastAsia" w:hAnsi="楷体_GB2312" w:cs="楷体_GB2312"/>
          <w:b w:val="0"/>
          <w:bCs/>
          <w:i w:val="0"/>
          <w:iCs/>
          <w:snapToGrid w:val="0"/>
          <w:kern w:val="0"/>
          <w:sz w:val="32"/>
          <w:szCs w:val="32"/>
          <w:u w:val="none"/>
          <w:lang w:eastAsia="zh-CN"/>
        </w:rPr>
        <w:t>助推全</w:t>
      </w:r>
      <w:r>
        <w:rPr>
          <w:rFonts w:hint="eastAsia" w:hAnsi="楷体_GB2312" w:cs="楷体_GB2312"/>
          <w:b w:val="0"/>
          <w:bCs/>
          <w:i w:val="0"/>
          <w:iCs/>
          <w:snapToGrid w:val="0"/>
          <w:kern w:val="0"/>
          <w:sz w:val="32"/>
          <w:szCs w:val="32"/>
          <w:u w:val="none"/>
          <w:lang w:val="en-US" w:eastAsia="zh-CN"/>
        </w:rPr>
        <w:t>区</w:t>
      </w:r>
      <w:r>
        <w:rPr>
          <w:rFonts w:hint="eastAsia" w:hAnsi="楷体_GB2312" w:cs="楷体_GB2312"/>
          <w:b w:val="0"/>
          <w:bCs/>
          <w:i w:val="0"/>
          <w:iCs/>
          <w:snapToGrid w:val="0"/>
          <w:kern w:val="0"/>
          <w:sz w:val="32"/>
          <w:szCs w:val="32"/>
          <w:u w:val="none"/>
          <w:lang w:eastAsia="zh-CN"/>
        </w:rPr>
        <w:t>创新转型高质量发展，全面开启政务服务工作新局面。</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黑体" w:hAnsi="黑体" w:eastAsia="黑体" w:cs="黑体"/>
          <w:b w:val="0"/>
          <w:bCs/>
          <w:i w:val="0"/>
          <w:iCs/>
          <w:snapToGrid w:val="0"/>
          <w:kern w:val="0"/>
          <w:sz w:val="32"/>
          <w:szCs w:val="32"/>
          <w:u w:val="none"/>
          <w:lang w:eastAsia="zh-CN"/>
        </w:rPr>
      </w:pPr>
      <w:r>
        <w:rPr>
          <w:rFonts w:hint="eastAsia" w:ascii="黑体" w:hAnsi="黑体" w:eastAsia="黑体" w:cs="黑体"/>
          <w:b w:val="0"/>
          <w:bCs/>
          <w:i w:val="0"/>
          <w:iCs/>
          <w:snapToGrid w:val="0"/>
          <w:kern w:val="0"/>
          <w:sz w:val="32"/>
          <w:szCs w:val="32"/>
          <w:u w:val="none"/>
          <w:lang w:eastAsia="zh-CN"/>
        </w:rPr>
        <w:t>二、主要任务</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eastAsia="zh-CN"/>
        </w:rPr>
        <w:t>（一）企业开办再提速。</w:t>
      </w:r>
      <w:r>
        <w:rPr>
          <w:rFonts w:hint="eastAsia" w:ascii="仿宋_GB2312" w:hAnsi="楷体_GB2312" w:eastAsia="仿宋_GB2312" w:cs="楷体_GB2312"/>
          <w:b w:val="0"/>
          <w:bCs/>
          <w:i w:val="0"/>
          <w:iCs/>
          <w:snapToGrid w:val="0"/>
          <w:kern w:val="0"/>
          <w:sz w:val="32"/>
          <w:szCs w:val="32"/>
          <w:u w:val="none"/>
          <w:lang w:eastAsia="zh-CN"/>
        </w:rPr>
        <w:t>简化市场准入环节，企业开办全流程合并为营业执照申领、社保登记、医保登记、住房公积金登记和印章刻制、涉税办理2个环节，全程网办、一日办结，免费为企业提供营业执照、印章、发票（不含增值税专用发票）及税控设备。打破地域限制，企业登记注册做到当地受理、异地发证，省内通办、跨省联办。全面实施“证照分离”、涉企经营许可事项分类改革，完善审管衔接机制，破解“准入不准营”难题</w:t>
      </w:r>
      <w:r>
        <w:rPr>
          <w:rFonts w:hint="eastAsia" w:hAnsi="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深化企业简易注销改革，建立企业注销网上服务专区，</w:t>
      </w:r>
      <w:r>
        <w:rPr>
          <w:rFonts w:hint="eastAsia" w:hAnsi="楷体_GB2312" w:cs="楷体_GB2312"/>
          <w:b w:val="0"/>
          <w:bCs/>
          <w:i w:val="0"/>
          <w:iCs/>
          <w:snapToGrid w:val="0"/>
          <w:kern w:val="0"/>
          <w:sz w:val="32"/>
          <w:szCs w:val="32"/>
          <w:u w:val="none"/>
          <w:lang w:val="en-US" w:eastAsia="zh-CN"/>
        </w:rPr>
        <w:t>简易注销</w:t>
      </w:r>
      <w:r>
        <w:rPr>
          <w:rFonts w:hint="default" w:ascii="仿宋_GB2312" w:hAnsi="楷体_GB2312" w:eastAsia="仿宋_GB2312" w:cs="楷体_GB2312"/>
          <w:b w:val="0"/>
          <w:bCs/>
          <w:i w:val="0"/>
          <w:iCs/>
          <w:snapToGrid w:val="0"/>
          <w:kern w:val="0"/>
          <w:sz w:val="32"/>
          <w:szCs w:val="32"/>
          <w:u w:val="none"/>
          <w:lang w:val="en-US" w:eastAsia="zh-CN"/>
        </w:rPr>
        <w:t>办理时限减少一半以上。</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仿宋_GB2312" w:hAnsi="楷体_GB2312" w:eastAsia="仿宋_GB2312" w:cs="楷体_GB2312"/>
          <w:b w:val="0"/>
          <w:bCs/>
          <w:i w:val="0"/>
          <w:iCs/>
          <w:snapToGrid w:val="0"/>
          <w:kern w:val="0"/>
          <w:sz w:val="32"/>
          <w:szCs w:val="32"/>
          <w:u w:val="none"/>
          <w:lang w:eastAsia="zh-CN"/>
        </w:rPr>
      </w:pPr>
      <w:r>
        <w:rPr>
          <w:rFonts w:hint="eastAsia" w:ascii="楷体_GB2312" w:hAnsi="楷体_GB2312" w:eastAsia="楷体_GB2312" w:cs="楷体_GB2312"/>
          <w:b w:val="0"/>
          <w:bCs/>
          <w:i w:val="0"/>
          <w:iCs/>
          <w:snapToGrid w:val="0"/>
          <w:kern w:val="0"/>
          <w:sz w:val="32"/>
          <w:szCs w:val="32"/>
          <w:u w:val="none"/>
          <w:lang w:eastAsia="zh-CN"/>
        </w:rPr>
        <w:t>（二）项目审批更精简。</w:t>
      </w:r>
      <w:r>
        <w:rPr>
          <w:rFonts w:hint="eastAsia" w:ascii="仿宋_GB2312" w:hAnsi="楷体_GB2312" w:eastAsia="仿宋_GB2312" w:cs="楷体_GB2312"/>
          <w:b w:val="0"/>
          <w:bCs/>
          <w:i w:val="0"/>
          <w:iCs/>
          <w:snapToGrid w:val="0"/>
          <w:kern w:val="0"/>
          <w:sz w:val="32"/>
          <w:szCs w:val="32"/>
          <w:u w:val="none"/>
          <w:lang w:eastAsia="zh-CN"/>
        </w:rPr>
        <w:t>进一步优化工程建设项目审批流程，全面实施并联审批，持续提升数字化图纸审查和规划设计方案联审服务</w:t>
      </w:r>
      <w:r>
        <w:rPr>
          <w:rFonts w:hint="eastAsia" w:hAnsi="楷体_GB2312" w:cs="楷体_GB2312"/>
          <w:b w:val="0"/>
          <w:bCs/>
          <w:i w:val="0"/>
          <w:iCs/>
          <w:snapToGrid w:val="0"/>
          <w:kern w:val="0"/>
          <w:sz w:val="32"/>
          <w:szCs w:val="32"/>
          <w:u w:val="none"/>
          <w:lang w:eastAsia="zh-CN"/>
        </w:rPr>
        <w:t>时效</w:t>
      </w:r>
      <w:r>
        <w:rPr>
          <w:rFonts w:hint="eastAsia" w:ascii="仿宋_GB2312" w:hAnsi="楷体_GB2312" w:eastAsia="仿宋_GB2312" w:cs="楷体_GB2312"/>
          <w:b w:val="0"/>
          <w:bCs/>
          <w:i w:val="0"/>
          <w:iCs/>
          <w:snapToGrid w:val="0"/>
          <w:kern w:val="0"/>
          <w:sz w:val="32"/>
          <w:szCs w:val="32"/>
          <w:u w:val="none"/>
          <w:lang w:eastAsia="zh-CN"/>
        </w:rPr>
        <w:t>。制定优化政府投资房屋建筑类、政府投资市政公用线性工程类等</w:t>
      </w:r>
      <w:r>
        <w:rPr>
          <w:rFonts w:hint="eastAsia" w:hAnsi="楷体_GB2312" w:cs="楷体_GB2312"/>
          <w:b w:val="0"/>
          <w:bCs/>
          <w:i w:val="0"/>
          <w:iCs/>
          <w:snapToGrid w:val="0"/>
          <w:kern w:val="0"/>
          <w:sz w:val="32"/>
          <w:szCs w:val="32"/>
          <w:u w:val="none"/>
          <w:lang w:eastAsia="zh-CN"/>
        </w:rPr>
        <w:t>６类</w:t>
      </w:r>
      <w:r>
        <w:rPr>
          <w:rFonts w:hint="eastAsia" w:ascii="仿宋_GB2312" w:hAnsi="楷体_GB2312" w:eastAsia="仿宋_GB2312" w:cs="楷体_GB2312"/>
          <w:b w:val="0"/>
          <w:bCs/>
          <w:i w:val="0"/>
          <w:iCs/>
          <w:snapToGrid w:val="0"/>
          <w:kern w:val="0"/>
          <w:sz w:val="32"/>
          <w:szCs w:val="32"/>
          <w:u w:val="none"/>
          <w:lang w:eastAsia="zh-CN"/>
        </w:rPr>
        <w:t>建设项目审批流程实施细则和流程图，将主流程审批时限再压减10%以上。深化“标准地”制度改革，建立项目审批容缺受理制，推进建设项目“拿地即开工、建成即使用”。</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仿宋_GB2312" w:hAnsi="楷体_GB2312" w:eastAsia="仿宋_GB2312" w:cs="楷体_GB2312"/>
          <w:b w:val="0"/>
          <w:bCs/>
          <w:i w:val="0"/>
          <w:iCs/>
          <w:snapToGrid w:val="0"/>
          <w:color w:val="C00000"/>
          <w:kern w:val="0"/>
          <w:sz w:val="32"/>
          <w:szCs w:val="32"/>
          <w:u w:val="none"/>
          <w:lang w:eastAsia="zh-CN"/>
        </w:rPr>
      </w:pPr>
      <w:r>
        <w:rPr>
          <w:rFonts w:hint="eastAsia" w:ascii="楷体_GB2312" w:hAnsi="楷体_GB2312" w:eastAsia="楷体_GB2312" w:cs="楷体_GB2312"/>
          <w:b w:val="0"/>
          <w:bCs/>
          <w:i w:val="0"/>
          <w:iCs/>
          <w:snapToGrid w:val="0"/>
          <w:kern w:val="0"/>
          <w:sz w:val="32"/>
          <w:szCs w:val="32"/>
          <w:u w:val="none"/>
          <w:lang w:eastAsia="zh-CN"/>
        </w:rPr>
        <w:t>（三）水电气热同步接入。</w:t>
      </w:r>
      <w:r>
        <w:rPr>
          <w:rFonts w:hint="eastAsia" w:ascii="仿宋_GB2312" w:hAnsi="楷体_GB2312" w:eastAsia="仿宋_GB2312" w:cs="楷体_GB2312"/>
          <w:b w:val="0"/>
          <w:bCs/>
          <w:i w:val="0"/>
          <w:iCs/>
          <w:snapToGrid w:val="0"/>
          <w:kern w:val="0"/>
          <w:sz w:val="32"/>
          <w:szCs w:val="32"/>
          <w:u w:val="none"/>
          <w:lang w:eastAsia="zh-CN"/>
        </w:rPr>
        <w:t>实施用电申请“一窗受理”和信息共享，推行电力接入外线工程行政审批手续并联办理和限时办结。优化用水用气报装服务，推行“网上办”“掌上办”，做到一窗受理、联合踏勘、并联审批、统一出件，符合条件的实行告知承诺制</w:t>
      </w:r>
      <w:r>
        <w:rPr>
          <w:rFonts w:hint="eastAsia" w:hAnsi="楷体_GB2312" w:cs="楷体_GB2312"/>
          <w:b w:val="0"/>
          <w:bCs/>
          <w:i w:val="0"/>
          <w:iCs/>
          <w:snapToGrid w:val="0"/>
          <w:kern w:val="0"/>
          <w:sz w:val="32"/>
          <w:szCs w:val="32"/>
          <w:u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仿宋_GB2312" w:hAnsi="楷体_GB2312" w:eastAsia="仿宋_GB2312" w:cs="楷体_GB2312"/>
          <w:b w:val="0"/>
          <w:bCs/>
          <w:i w:val="0"/>
          <w:iCs/>
          <w:snapToGrid w:val="0"/>
          <w:kern w:val="0"/>
          <w:sz w:val="32"/>
          <w:szCs w:val="32"/>
          <w:u w:val="none"/>
          <w:lang w:eastAsia="zh-CN"/>
        </w:rPr>
      </w:pPr>
      <w:r>
        <w:rPr>
          <w:rFonts w:hint="eastAsia" w:ascii="楷体_GB2312" w:hAnsi="楷体_GB2312" w:eastAsia="楷体_GB2312" w:cs="楷体_GB2312"/>
          <w:b w:val="0"/>
          <w:bCs/>
          <w:i w:val="0"/>
          <w:iCs/>
          <w:snapToGrid w:val="0"/>
          <w:kern w:val="0"/>
          <w:sz w:val="32"/>
          <w:szCs w:val="32"/>
          <w:u w:val="none"/>
          <w:lang w:eastAsia="zh-CN"/>
        </w:rPr>
        <w:t>（四）</w:t>
      </w:r>
      <w:r>
        <w:rPr>
          <w:rFonts w:hint="eastAsia" w:ascii="楷体" w:hAnsi="楷体" w:eastAsia="楷体" w:cs="楷体"/>
          <w:b w:val="0"/>
          <w:bCs/>
          <w:i w:val="0"/>
          <w:iCs/>
          <w:snapToGrid w:val="0"/>
          <w:kern w:val="0"/>
          <w:sz w:val="32"/>
          <w:szCs w:val="32"/>
          <w:u w:val="none"/>
          <w:lang w:val="en-US" w:eastAsia="zh-CN"/>
        </w:rPr>
        <w:t>深化无差别</w:t>
      </w:r>
      <w:r>
        <w:rPr>
          <w:rFonts w:hint="eastAsia" w:ascii="楷体" w:hAnsi="楷体" w:eastAsia="楷体" w:cs="楷体"/>
          <w:b w:val="0"/>
          <w:bCs/>
          <w:i w:val="0"/>
          <w:iCs/>
          <w:snapToGrid w:val="0"/>
          <w:kern w:val="0"/>
          <w:sz w:val="32"/>
          <w:szCs w:val="32"/>
          <w:u w:val="none"/>
          <w:lang w:eastAsia="zh-CN"/>
        </w:rPr>
        <w:t>“一窗受理”。</w:t>
      </w:r>
      <w:r>
        <w:rPr>
          <w:rFonts w:hint="eastAsia" w:ascii="仿宋_GB2312" w:hAnsi="楷体_GB2312" w:eastAsia="仿宋_GB2312" w:cs="楷体_GB2312"/>
          <w:b w:val="0"/>
          <w:bCs/>
          <w:i w:val="0"/>
          <w:iCs/>
          <w:snapToGrid w:val="0"/>
          <w:kern w:val="0"/>
          <w:sz w:val="32"/>
          <w:szCs w:val="32"/>
          <w:u w:val="none"/>
          <w:lang w:eastAsia="zh-CN"/>
        </w:rPr>
        <w:t>在</w:t>
      </w:r>
      <w:r>
        <w:rPr>
          <w:rFonts w:hint="eastAsia" w:ascii="仿宋_GB2312" w:hAnsi="楷体_GB2312" w:eastAsia="仿宋_GB2312" w:cs="楷体_GB2312"/>
          <w:b w:val="0"/>
          <w:bCs/>
          <w:i w:val="0"/>
          <w:iCs/>
          <w:snapToGrid w:val="0"/>
          <w:kern w:val="0"/>
          <w:sz w:val="32"/>
          <w:szCs w:val="32"/>
          <w:u w:val="none"/>
          <w:lang w:val="en-US" w:eastAsia="zh-CN"/>
        </w:rPr>
        <w:t>区、镇两级</w:t>
      </w:r>
      <w:r>
        <w:rPr>
          <w:rFonts w:hint="eastAsia" w:ascii="仿宋_GB2312" w:hAnsi="楷体_GB2312" w:eastAsia="仿宋_GB2312" w:cs="楷体_GB2312"/>
          <w:b w:val="0"/>
          <w:bCs/>
          <w:i w:val="0"/>
          <w:iCs/>
          <w:snapToGrid w:val="0"/>
          <w:kern w:val="0"/>
          <w:sz w:val="32"/>
          <w:szCs w:val="32"/>
          <w:u w:val="none"/>
          <w:lang w:eastAsia="zh-CN"/>
        </w:rPr>
        <w:t>政务服务大厅全面深化无差别“一窗受理”改革，实行告知承诺制、容缺受理，落实“窗口无否决权”和政务服务“找茬吐槽”机制，全面实施“好差评”制度</w:t>
      </w:r>
      <w:r>
        <w:rPr>
          <w:rFonts w:hint="eastAsia" w:hAnsi="楷体_GB2312" w:cs="楷体_GB2312"/>
          <w:b w:val="0"/>
          <w:bCs/>
          <w:i w:val="0"/>
          <w:iCs/>
          <w:snapToGrid w:val="0"/>
          <w:kern w:val="0"/>
          <w:sz w:val="32"/>
          <w:szCs w:val="32"/>
          <w:u w:val="none"/>
          <w:lang w:eastAsia="zh-CN"/>
        </w:rPr>
        <w:t>。</w:t>
      </w:r>
      <w:r>
        <w:rPr>
          <w:rFonts w:hint="eastAsia" w:ascii="仿宋_GB2312" w:hAnsi="楷体_GB2312" w:eastAsia="仿宋_GB2312" w:cs="楷体_GB2312"/>
          <w:b w:val="0"/>
          <w:bCs/>
          <w:i w:val="0"/>
          <w:iCs/>
          <w:snapToGrid w:val="0"/>
          <w:kern w:val="0"/>
          <w:sz w:val="32"/>
          <w:szCs w:val="32"/>
          <w:u w:val="none"/>
          <w:lang w:eastAsia="zh-CN"/>
        </w:rPr>
        <w:t>深化行政审批延时服务、预约服务，</w:t>
      </w:r>
      <w:r>
        <w:rPr>
          <w:rFonts w:hint="eastAsia" w:hAnsi="楷体_GB2312" w:cs="楷体_GB2312"/>
          <w:b w:val="0"/>
          <w:bCs/>
          <w:i w:val="0"/>
          <w:iCs/>
          <w:snapToGrid w:val="0"/>
          <w:kern w:val="0"/>
          <w:sz w:val="32"/>
          <w:szCs w:val="32"/>
          <w:u w:val="none"/>
          <w:lang w:val="en-US" w:eastAsia="zh-CN"/>
        </w:rPr>
        <w:t>扩展</w:t>
      </w:r>
      <w:r>
        <w:rPr>
          <w:rFonts w:hint="eastAsia" w:ascii="仿宋_GB2312" w:hAnsi="楷体_GB2312" w:eastAsia="仿宋_GB2312" w:cs="楷体_GB2312"/>
          <w:b w:val="0"/>
          <w:bCs/>
          <w:i w:val="0"/>
          <w:iCs/>
          <w:snapToGrid w:val="0"/>
          <w:kern w:val="0"/>
          <w:sz w:val="32"/>
          <w:szCs w:val="32"/>
          <w:u w:val="none"/>
          <w:lang w:eastAsia="zh-CN"/>
        </w:rPr>
        <w:t>24小时便民自助服务区</w:t>
      </w:r>
      <w:r>
        <w:rPr>
          <w:rFonts w:hint="eastAsia" w:hAnsi="楷体_GB2312" w:cs="楷体_GB2312"/>
          <w:b w:val="0"/>
          <w:bCs/>
          <w:i w:val="0"/>
          <w:iCs/>
          <w:snapToGrid w:val="0"/>
          <w:kern w:val="0"/>
          <w:sz w:val="32"/>
          <w:szCs w:val="32"/>
          <w:u w:val="none"/>
          <w:lang w:val="en-US" w:eastAsia="zh-CN"/>
        </w:rPr>
        <w:t>功能</w:t>
      </w:r>
      <w:r>
        <w:rPr>
          <w:rFonts w:hint="eastAsia" w:ascii="仿宋_GB2312" w:hAnsi="楷体_GB2312" w:eastAsia="仿宋_GB2312" w:cs="楷体_GB2312"/>
          <w:b w:val="0"/>
          <w:bCs/>
          <w:i w:val="0"/>
          <w:iCs/>
          <w:snapToGrid w:val="0"/>
          <w:kern w:val="0"/>
          <w:sz w:val="32"/>
          <w:szCs w:val="32"/>
          <w:u w:val="none"/>
          <w:lang w:eastAsia="zh-CN"/>
        </w:rPr>
        <w:t>，做到政务服务“24小时不打烊”。开通重点项目绿色通道，实行“一企一策”精准帮办代办服务。</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仿宋_GB2312" w:hAnsi="楷体_GB2312" w:eastAsia="仿宋_GB2312" w:cs="楷体_GB2312"/>
          <w:b w:val="0"/>
          <w:bCs/>
          <w:i w:val="0"/>
          <w:iCs/>
          <w:snapToGrid w:val="0"/>
          <w:kern w:val="0"/>
          <w:sz w:val="32"/>
          <w:szCs w:val="32"/>
          <w:u w:val="none"/>
          <w:lang w:eastAsia="zh-CN"/>
        </w:rPr>
      </w:pPr>
      <w:r>
        <w:rPr>
          <w:rFonts w:hint="eastAsia" w:ascii="楷体" w:hAnsi="楷体" w:eastAsia="楷体" w:cs="楷体"/>
          <w:b w:val="0"/>
          <w:bCs/>
          <w:i w:val="0"/>
          <w:iCs/>
          <w:snapToGrid w:val="0"/>
          <w:kern w:val="0"/>
          <w:sz w:val="32"/>
          <w:szCs w:val="32"/>
          <w:u w:val="none"/>
          <w:lang w:val="en-US" w:eastAsia="zh-CN"/>
        </w:rPr>
        <w:t>（五）创新“一链办理”新模式。</w:t>
      </w:r>
      <w:r>
        <w:rPr>
          <w:rFonts w:hint="eastAsia" w:ascii="仿宋_GB2312" w:hAnsi="楷体_GB2312" w:eastAsia="仿宋_GB2312" w:cs="楷体_GB2312"/>
          <w:b w:val="0"/>
          <w:bCs/>
          <w:i w:val="0"/>
          <w:iCs/>
          <w:snapToGrid w:val="0"/>
          <w:kern w:val="0"/>
          <w:sz w:val="32"/>
          <w:szCs w:val="32"/>
          <w:u w:val="none"/>
          <w:lang w:eastAsia="zh-CN"/>
        </w:rPr>
        <w:t>不断扩大“一链办理”服务范围，坚持“成熟一批，运行一批”，推进更多高频民生事项“一件事一次办”</w:t>
      </w:r>
      <w:r>
        <w:rPr>
          <w:rFonts w:hint="eastAsia" w:hAnsi="楷体_GB2312" w:cs="楷体_GB2312"/>
          <w:b w:val="0"/>
          <w:bCs/>
          <w:i w:val="0"/>
          <w:iCs/>
          <w:snapToGrid w:val="0"/>
          <w:kern w:val="0"/>
          <w:sz w:val="32"/>
          <w:szCs w:val="32"/>
          <w:u w:val="none"/>
          <w:lang w:eastAsia="zh-CN"/>
        </w:rPr>
        <w:t>，</w:t>
      </w:r>
      <w:r>
        <w:rPr>
          <w:rFonts w:hint="eastAsia" w:ascii="仿宋_GB2312" w:hAnsi="楷体_GB2312" w:eastAsia="仿宋_GB2312" w:cs="楷体_GB2312"/>
          <w:b w:val="0"/>
          <w:bCs/>
          <w:i w:val="0"/>
          <w:iCs/>
          <w:snapToGrid w:val="0"/>
          <w:kern w:val="0"/>
          <w:sz w:val="32"/>
          <w:szCs w:val="32"/>
          <w:u w:val="none"/>
          <w:lang w:eastAsia="zh-CN"/>
        </w:rPr>
        <w:t>2021年6月底前“一链办理”服务事项全部纳入</w:t>
      </w:r>
      <w:r>
        <w:rPr>
          <w:rFonts w:hint="eastAsia" w:hAnsi="楷体_GB2312" w:cs="楷体_GB2312"/>
          <w:b w:val="0"/>
          <w:bCs/>
          <w:i w:val="0"/>
          <w:iCs/>
          <w:snapToGrid w:val="0"/>
          <w:kern w:val="0"/>
          <w:sz w:val="32"/>
          <w:szCs w:val="32"/>
          <w:u w:val="none"/>
          <w:lang w:val="en-US" w:eastAsia="zh-CN"/>
        </w:rPr>
        <w:t>区</w:t>
      </w:r>
      <w:r>
        <w:rPr>
          <w:rFonts w:hint="eastAsia" w:ascii="仿宋_GB2312" w:hAnsi="楷体_GB2312" w:eastAsia="仿宋_GB2312" w:cs="楷体_GB2312"/>
          <w:b w:val="0"/>
          <w:bCs/>
          <w:i w:val="0"/>
          <w:iCs/>
          <w:snapToGrid w:val="0"/>
          <w:kern w:val="0"/>
          <w:sz w:val="32"/>
          <w:szCs w:val="32"/>
          <w:u w:val="none"/>
          <w:lang w:eastAsia="zh-CN"/>
        </w:rPr>
        <w:t>级政务服务大厅综合窗口。延伸“一链办理”服务内容，各推出</w:t>
      </w:r>
      <w:r>
        <w:rPr>
          <w:rFonts w:hint="eastAsia" w:hAnsi="楷体_GB2312" w:cs="楷体_GB2312"/>
          <w:b w:val="0"/>
          <w:bCs/>
          <w:i w:val="0"/>
          <w:iCs/>
          <w:snapToGrid w:val="0"/>
          <w:kern w:val="0"/>
          <w:sz w:val="32"/>
          <w:szCs w:val="32"/>
          <w:u w:val="none"/>
          <w:lang w:val="en-US" w:eastAsia="zh-CN"/>
        </w:rPr>
        <w:t>100</w:t>
      </w:r>
      <w:r>
        <w:rPr>
          <w:rFonts w:hint="eastAsia" w:ascii="仿宋_GB2312" w:hAnsi="楷体_GB2312" w:eastAsia="仿宋_GB2312" w:cs="楷体_GB2312"/>
          <w:b w:val="0"/>
          <w:bCs/>
          <w:i w:val="0"/>
          <w:iCs/>
          <w:snapToGrid w:val="0"/>
          <w:kern w:val="0"/>
          <w:sz w:val="32"/>
          <w:szCs w:val="32"/>
          <w:u w:val="none"/>
          <w:lang w:eastAsia="zh-CN"/>
        </w:rPr>
        <w:t>项面向企业和个人的主题式服务事项清单，在政务服务平台</w:t>
      </w:r>
      <w:r>
        <w:rPr>
          <w:rFonts w:hint="eastAsia" w:hAnsi="楷体_GB2312" w:cs="楷体_GB2312"/>
          <w:b w:val="0"/>
          <w:bCs/>
          <w:i w:val="0"/>
          <w:iCs/>
          <w:snapToGrid w:val="0"/>
          <w:kern w:val="0"/>
          <w:sz w:val="32"/>
          <w:szCs w:val="32"/>
          <w:u w:val="none"/>
          <w:lang w:eastAsia="zh-CN"/>
        </w:rPr>
        <w:t>开通网上申报入口，</w:t>
      </w:r>
      <w:r>
        <w:rPr>
          <w:rFonts w:hint="eastAsia" w:ascii="仿宋_GB2312" w:hAnsi="楷体_GB2312" w:eastAsia="仿宋_GB2312" w:cs="楷体_GB2312"/>
          <w:b w:val="0"/>
          <w:bCs/>
          <w:i w:val="0"/>
          <w:iCs/>
          <w:snapToGrid w:val="0"/>
          <w:kern w:val="0"/>
          <w:sz w:val="32"/>
          <w:szCs w:val="32"/>
          <w:u w:val="none"/>
          <w:lang w:eastAsia="zh-CN"/>
        </w:rPr>
        <w:t>提供集成套餐服务。</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仿宋_GB2312" w:hAnsi="楷体_GB2312" w:eastAsia="仿宋_GB2312" w:cs="楷体_GB2312"/>
          <w:b w:val="0"/>
          <w:bCs/>
          <w:i w:val="0"/>
          <w:iCs/>
          <w:snapToGrid w:val="0"/>
          <w:kern w:val="0"/>
          <w:sz w:val="32"/>
          <w:szCs w:val="32"/>
          <w:u w:val="none"/>
          <w:lang w:eastAsia="zh-CN"/>
        </w:rPr>
      </w:pPr>
      <w:r>
        <w:rPr>
          <w:rFonts w:hint="eastAsia" w:ascii="楷体" w:hAnsi="楷体" w:eastAsia="楷体" w:cs="楷体"/>
          <w:b w:val="0"/>
          <w:bCs/>
          <w:i w:val="0"/>
          <w:iCs/>
          <w:snapToGrid w:val="0"/>
          <w:kern w:val="0"/>
          <w:sz w:val="32"/>
          <w:szCs w:val="32"/>
          <w:u w:val="none"/>
          <w:lang w:val="en-US" w:eastAsia="zh-CN"/>
        </w:rPr>
        <w:t>（六）</w:t>
      </w:r>
      <w:r>
        <w:rPr>
          <w:rFonts w:hint="eastAsia" w:ascii="楷体_GB2312" w:hAnsi="楷体_GB2312" w:eastAsia="楷体_GB2312" w:cs="楷体_GB2312"/>
          <w:b w:val="0"/>
          <w:bCs/>
          <w:i w:val="0"/>
          <w:iCs/>
          <w:snapToGrid w:val="0"/>
          <w:kern w:val="0"/>
          <w:sz w:val="32"/>
          <w:szCs w:val="32"/>
          <w:u w:val="none"/>
          <w:lang w:val="en-US" w:eastAsia="zh-CN"/>
        </w:rPr>
        <w:t>“一网通办”再升级。</w:t>
      </w:r>
      <w:r>
        <w:rPr>
          <w:rFonts w:hint="eastAsia" w:hAnsi="楷体_GB2312" w:cs="楷体_GB2312"/>
          <w:b w:val="0"/>
          <w:bCs/>
          <w:i w:val="0"/>
          <w:iCs/>
          <w:snapToGrid w:val="0"/>
          <w:kern w:val="0"/>
          <w:sz w:val="32"/>
          <w:szCs w:val="32"/>
          <w:u w:val="none"/>
          <w:lang w:val="en-US" w:eastAsia="zh-CN"/>
        </w:rPr>
        <w:t>完善提升政务服务事项标准化梳理和上网运行要素质量，高标准做好政务数</w:t>
      </w:r>
      <w:r>
        <w:rPr>
          <w:rFonts w:hint="eastAsia" w:ascii="仿宋_GB2312" w:hAnsi="楷体_GB2312" w:eastAsia="仿宋_GB2312" w:cs="楷体_GB2312"/>
          <w:b w:val="0"/>
          <w:bCs/>
          <w:i w:val="0"/>
          <w:iCs/>
          <w:snapToGrid w:val="0"/>
          <w:kern w:val="0"/>
          <w:sz w:val="32"/>
          <w:szCs w:val="32"/>
          <w:u w:val="none"/>
          <w:lang w:val="en-US" w:eastAsia="zh-CN"/>
        </w:rPr>
        <w:t>据归集工作，确保数据真实可靠、口径一致、应收尽</w:t>
      </w:r>
      <w:r>
        <w:rPr>
          <w:rFonts w:hint="eastAsia" w:hAnsi="楷体_GB2312" w:cs="楷体_GB2312"/>
          <w:b w:val="0"/>
          <w:bCs/>
          <w:i w:val="0"/>
          <w:iCs/>
          <w:snapToGrid w:val="0"/>
          <w:kern w:val="0"/>
          <w:sz w:val="32"/>
          <w:szCs w:val="32"/>
          <w:u w:val="none"/>
          <w:lang w:val="en-US" w:eastAsia="zh-CN"/>
        </w:rPr>
        <w:t>收，不断提升办件事项覆盖率。</w:t>
      </w:r>
      <w:r>
        <w:rPr>
          <w:rFonts w:hint="eastAsia" w:ascii="仿宋_GB2312" w:hAnsi="楷体_GB2312" w:eastAsia="仿宋_GB2312" w:cs="楷体_GB2312"/>
          <w:b w:val="0"/>
          <w:bCs/>
          <w:i w:val="0"/>
          <w:iCs/>
          <w:snapToGrid w:val="0"/>
          <w:kern w:val="0"/>
          <w:sz w:val="32"/>
          <w:szCs w:val="32"/>
          <w:u w:val="none"/>
          <w:lang w:eastAsia="zh-CN"/>
        </w:rPr>
        <w:t>进一步拓展电子证照和电子印章应用场景，凡能出示合法有效电子证照的，不再要求其另行提供。推动“互联网+政务服务”向基层延伸，完善区、镇、村（居）</w:t>
      </w:r>
      <w:r>
        <w:rPr>
          <w:rFonts w:hint="eastAsia" w:hAnsi="楷体_GB2312" w:cs="楷体_GB2312"/>
          <w:b w:val="0"/>
          <w:bCs/>
          <w:i w:val="0"/>
          <w:iCs/>
          <w:snapToGrid w:val="0"/>
          <w:kern w:val="0"/>
          <w:sz w:val="32"/>
          <w:szCs w:val="32"/>
          <w:u w:val="none"/>
          <w:lang w:val="en-US" w:eastAsia="zh-CN"/>
        </w:rPr>
        <w:t>三</w:t>
      </w:r>
      <w:r>
        <w:rPr>
          <w:rFonts w:hint="eastAsia" w:ascii="仿宋_GB2312" w:hAnsi="楷体_GB2312" w:eastAsia="仿宋_GB2312" w:cs="楷体_GB2312"/>
          <w:b w:val="0"/>
          <w:bCs/>
          <w:i w:val="0"/>
          <w:iCs/>
          <w:snapToGrid w:val="0"/>
          <w:kern w:val="0"/>
          <w:sz w:val="32"/>
          <w:szCs w:val="32"/>
          <w:u w:val="none"/>
          <w:lang w:eastAsia="zh-CN"/>
        </w:rPr>
        <w:t>级政务服务体系建设，实现线上政务服务平台和线下实体服务大厅融合发展。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baseline"/>
        <w:rPr>
          <w:rFonts w:hint="default" w:hAnsi="楷体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（七）</w:t>
      </w:r>
      <w:r>
        <w:rPr>
          <w:rFonts w:hint="default" w:ascii="楷体_GB2312" w:hAnsi="楷体_GB2312" w:eastAsia="楷体_GB2312" w:cs="楷体_GB2312"/>
          <w:b w:val="0"/>
          <w:bCs/>
          <w:i w:val="0"/>
          <w:iCs/>
          <w:snapToGrid w:val="0"/>
          <w:kern w:val="0"/>
          <w:sz w:val="32"/>
          <w:szCs w:val="32"/>
          <w:u w:val="none"/>
          <w:lang w:val="en-US" w:eastAsia="zh-CN"/>
        </w:rPr>
        <w:t>实施“双全双百”工程。</w:t>
      </w:r>
      <w:r>
        <w:rPr>
          <w:rFonts w:hint="default" w:ascii="仿宋_GB2312" w:hAnsi="楷体_GB2312" w:eastAsia="仿宋_GB2312" w:cs="楷体_GB2312"/>
          <w:b w:val="0"/>
          <w:bCs/>
          <w:i w:val="0"/>
          <w:iCs/>
          <w:snapToGrid w:val="0"/>
          <w:kern w:val="0"/>
          <w:sz w:val="32"/>
          <w:szCs w:val="32"/>
          <w:u w:val="none"/>
          <w:lang w:val="en-US" w:eastAsia="zh-CN"/>
        </w:rPr>
        <w:t>围绕企业、个人全生命周期建立政务服务图谱，实现政府服务事项简化到底、一揽子办理。通过整合事项、流程再造、信息共享，</w:t>
      </w:r>
      <w:r>
        <w:rPr>
          <w:rFonts w:hint="eastAsia" w:hAnsi="楷体_GB2312" w:cs="楷体_GB2312"/>
          <w:b w:val="0"/>
          <w:bCs/>
          <w:i w:val="0"/>
          <w:iCs/>
          <w:snapToGrid w:val="0"/>
          <w:kern w:val="0"/>
          <w:sz w:val="32"/>
          <w:szCs w:val="32"/>
          <w:u w:val="none"/>
          <w:lang w:val="en-US" w:eastAsia="zh-CN"/>
        </w:rPr>
        <w:t>探索</w:t>
      </w:r>
      <w:r>
        <w:rPr>
          <w:rFonts w:hint="default" w:ascii="仿宋_GB2312" w:hAnsi="楷体_GB2312" w:eastAsia="仿宋_GB2312" w:cs="楷体_GB2312"/>
          <w:b w:val="0"/>
          <w:bCs/>
          <w:i w:val="0"/>
          <w:iCs/>
          <w:snapToGrid w:val="0"/>
          <w:kern w:val="0"/>
          <w:sz w:val="32"/>
          <w:szCs w:val="32"/>
          <w:u w:val="none"/>
          <w:lang w:val="en-US" w:eastAsia="zh-CN"/>
        </w:rPr>
        <w:t>实现“双全双百”全生命周期相关事项线上一个平台</w:t>
      </w:r>
      <w:r>
        <w:rPr>
          <w:rFonts w:hint="eastAsia" w:hAnsi="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线下一个窗口</w:t>
      </w:r>
      <w:r>
        <w:rPr>
          <w:rFonts w:hint="eastAsia" w:hAnsi="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统一办理，形成“一窗受理、一次告知、一表申请、一套材料、一窗出件、一键评价”的“六个一”办理模式，切实提升政务服务水平。聚焦企业生产经营活动中的高频事项，为每个重点项目配备一名“项目推进专员”，开展“一对一”帮办代办，提供全生命周期服务，做到“无事不扰、无处不在”。</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default" w:hAnsi="楷体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（八）</w:t>
      </w:r>
      <w:r>
        <w:rPr>
          <w:rFonts w:hint="default" w:ascii="楷体_GB2312" w:hAnsi="楷体_GB2312" w:eastAsia="楷体_GB2312" w:cs="楷体_GB2312"/>
          <w:b w:val="0"/>
          <w:bCs/>
          <w:i w:val="0"/>
          <w:iCs/>
          <w:snapToGrid w:val="0"/>
          <w:kern w:val="0"/>
          <w:sz w:val="32"/>
          <w:szCs w:val="32"/>
          <w:u w:val="none"/>
          <w:lang w:val="en-US" w:eastAsia="zh-CN"/>
        </w:rPr>
        <w:t>推进“跨省通办”事项落地。</w:t>
      </w:r>
      <w:r>
        <w:rPr>
          <w:rFonts w:hint="eastAsia" w:hAnsi="楷体_GB2312" w:cs="楷体_GB2312"/>
          <w:b w:val="0"/>
          <w:bCs/>
          <w:i w:val="0"/>
          <w:iCs/>
          <w:snapToGrid w:val="0"/>
          <w:kern w:val="0"/>
          <w:sz w:val="32"/>
          <w:szCs w:val="32"/>
          <w:u w:val="none"/>
          <w:lang w:val="en-US" w:eastAsia="zh-CN"/>
        </w:rPr>
        <w:t>进一步扩展</w:t>
      </w:r>
      <w:r>
        <w:rPr>
          <w:rFonts w:hint="default" w:hAnsi="楷体_GB2312" w:cs="楷体_GB2312"/>
          <w:b w:val="0"/>
          <w:bCs/>
          <w:i w:val="0"/>
          <w:iCs/>
          <w:snapToGrid w:val="0"/>
          <w:kern w:val="0"/>
          <w:sz w:val="32"/>
          <w:szCs w:val="32"/>
          <w:u w:val="none"/>
          <w:lang w:val="en-US" w:eastAsia="zh-CN"/>
        </w:rPr>
        <w:t>政务服务“跨省通办”“全省通办”</w:t>
      </w:r>
      <w:r>
        <w:rPr>
          <w:rFonts w:hint="eastAsia" w:hAnsi="楷体_GB2312" w:cs="楷体_GB2312"/>
          <w:b w:val="0"/>
          <w:bCs/>
          <w:i w:val="0"/>
          <w:iCs/>
          <w:snapToGrid w:val="0"/>
          <w:kern w:val="0"/>
          <w:sz w:val="32"/>
          <w:szCs w:val="32"/>
          <w:u w:val="none"/>
          <w:lang w:val="en-US" w:eastAsia="zh-CN"/>
        </w:rPr>
        <w:t>范围</w:t>
      </w:r>
      <w:r>
        <w:rPr>
          <w:rFonts w:hint="default" w:hAnsi="楷体_GB2312" w:cs="楷体_GB2312"/>
          <w:b w:val="0"/>
          <w:bCs/>
          <w:i w:val="0"/>
          <w:iCs/>
          <w:snapToGrid w:val="0"/>
          <w:kern w:val="0"/>
          <w:sz w:val="32"/>
          <w:szCs w:val="32"/>
          <w:u w:val="none"/>
          <w:lang w:val="en-US" w:eastAsia="zh-CN"/>
        </w:rPr>
        <w:t>，推进国家第二批74项“跨省通办”事项落地。</w:t>
      </w:r>
      <w:r>
        <w:rPr>
          <w:rFonts w:hint="eastAsia" w:hAnsi="楷体_GB2312" w:cs="楷体_GB2312"/>
          <w:b w:val="0"/>
          <w:bCs/>
          <w:i w:val="0"/>
          <w:iCs/>
          <w:snapToGrid w:val="0"/>
          <w:kern w:val="0"/>
          <w:sz w:val="32"/>
          <w:szCs w:val="32"/>
          <w:u w:val="none"/>
          <w:lang w:val="en-US" w:eastAsia="zh-CN"/>
        </w:rPr>
        <w:t>按照全省统一部署，</w:t>
      </w:r>
      <w:r>
        <w:rPr>
          <w:rFonts w:hint="default" w:hAnsi="楷体_GB2312" w:cs="楷体_GB2312"/>
          <w:b w:val="0"/>
          <w:bCs/>
          <w:i w:val="0"/>
          <w:iCs/>
          <w:snapToGrid w:val="0"/>
          <w:kern w:val="0"/>
          <w:sz w:val="32"/>
          <w:szCs w:val="32"/>
          <w:u w:val="none"/>
          <w:lang w:val="en-US" w:eastAsia="zh-CN"/>
        </w:rPr>
        <w:t>聚焦企业和个人全生命周期高频政务服务事项，2021年3月底前推出不少于100项“全省通办”事项清单，6月底前实现落地，12月底前基本实现高频政务服务事项“全省通办”。</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（九）推行行政审批标准化</w:t>
      </w:r>
      <w:r>
        <w:rPr>
          <w:rFonts w:hint="default" w:ascii="楷体_GB2312" w:hAnsi="楷体_GB2312" w:eastAsia="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编制政务服务事项审批服务标准，对各种无法律依据的要件和兜底条款进行全面清理,推权入笼，再造流程，实现事项办理全流程标准化运作。加强对</w:t>
      </w:r>
      <w:r>
        <w:rPr>
          <w:rFonts w:hint="eastAsia" w:hAnsi="楷体_GB2312" w:cs="楷体_GB2312"/>
          <w:b w:val="0"/>
          <w:bCs/>
          <w:i w:val="0"/>
          <w:iCs/>
          <w:snapToGrid w:val="0"/>
          <w:kern w:val="0"/>
          <w:sz w:val="32"/>
          <w:szCs w:val="32"/>
          <w:u w:val="none"/>
          <w:lang w:val="en-US" w:eastAsia="zh-CN"/>
        </w:rPr>
        <w:t>镇街</w:t>
      </w:r>
      <w:r>
        <w:rPr>
          <w:rFonts w:hint="default" w:ascii="仿宋_GB2312" w:hAnsi="楷体_GB2312" w:eastAsia="仿宋_GB2312" w:cs="楷体_GB2312"/>
          <w:b w:val="0"/>
          <w:bCs/>
          <w:i w:val="0"/>
          <w:iCs/>
          <w:snapToGrid w:val="0"/>
          <w:kern w:val="0"/>
          <w:sz w:val="32"/>
          <w:szCs w:val="32"/>
          <w:u w:val="none"/>
          <w:lang w:val="en-US" w:eastAsia="zh-CN"/>
        </w:rPr>
        <w:t>基层政务服务工作的指导、监督和考核，推进行政村便民服务标准化建设。推广“政银合作”，推进</w:t>
      </w:r>
      <w:r>
        <w:rPr>
          <w:rFonts w:hint="eastAsia" w:hAnsi="楷体_GB2312" w:cs="楷体_GB2312"/>
          <w:b w:val="0"/>
          <w:bCs/>
          <w:i w:val="0"/>
          <w:iCs/>
          <w:snapToGrid w:val="0"/>
          <w:kern w:val="0"/>
          <w:sz w:val="32"/>
          <w:szCs w:val="32"/>
          <w:u w:val="none"/>
          <w:lang w:val="en-US" w:eastAsia="zh-CN"/>
        </w:rPr>
        <w:t>智能审批</w:t>
      </w:r>
      <w:r>
        <w:rPr>
          <w:rFonts w:hint="default" w:ascii="仿宋_GB2312" w:hAnsi="楷体_GB2312" w:eastAsia="仿宋_GB2312" w:cs="楷体_GB2312"/>
          <w:b w:val="0"/>
          <w:bCs/>
          <w:i w:val="0"/>
          <w:iCs/>
          <w:snapToGrid w:val="0"/>
          <w:kern w:val="0"/>
          <w:sz w:val="32"/>
          <w:szCs w:val="32"/>
          <w:u w:val="none"/>
          <w:lang w:val="en-US" w:eastAsia="zh-CN"/>
        </w:rPr>
        <w:t>向基层延伸。加强对</w:t>
      </w:r>
      <w:r>
        <w:rPr>
          <w:rFonts w:hint="eastAsia" w:hAnsi="楷体_GB2312" w:cs="楷体_GB2312"/>
          <w:b w:val="0"/>
          <w:bCs/>
          <w:i w:val="0"/>
          <w:iCs/>
          <w:snapToGrid w:val="0"/>
          <w:kern w:val="0"/>
          <w:sz w:val="32"/>
          <w:szCs w:val="32"/>
          <w:u w:val="none"/>
          <w:lang w:val="en-US" w:eastAsia="zh-CN"/>
        </w:rPr>
        <w:t>政务服务大厅</w:t>
      </w:r>
      <w:r>
        <w:rPr>
          <w:rFonts w:hint="default" w:ascii="仿宋_GB2312" w:hAnsi="楷体_GB2312" w:eastAsia="仿宋_GB2312" w:cs="楷体_GB2312"/>
          <w:b w:val="0"/>
          <w:bCs/>
          <w:i w:val="0"/>
          <w:iCs/>
          <w:snapToGrid w:val="0"/>
          <w:kern w:val="0"/>
          <w:sz w:val="32"/>
          <w:szCs w:val="32"/>
          <w:u w:val="none"/>
          <w:lang w:val="en-US" w:eastAsia="zh-CN"/>
        </w:rPr>
        <w:t>进驻部门单位的管理，建立更加科学的考核机制。</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（十）扩展“一业一证”范围。</w:t>
      </w:r>
      <w:r>
        <w:rPr>
          <w:rFonts w:hint="default" w:ascii="仿宋_GB2312" w:hAnsi="楷体_GB2312" w:eastAsia="仿宋_GB2312" w:cs="楷体_GB2312"/>
          <w:b w:val="0"/>
          <w:bCs/>
          <w:i w:val="0"/>
          <w:iCs/>
          <w:snapToGrid w:val="0"/>
          <w:kern w:val="0"/>
          <w:sz w:val="32"/>
          <w:szCs w:val="32"/>
          <w:u w:val="none"/>
          <w:lang w:val="en-US" w:eastAsia="zh-CN"/>
        </w:rPr>
        <w:t>优化制度供给，建立健全行业综合许可制度，通过事项整合、流程再造、信息共享，选取建筑行业、检验检测行业、特种设备生产行业等新增行业，将全</w:t>
      </w:r>
      <w:r>
        <w:rPr>
          <w:rFonts w:hint="eastAsia" w:ascii="仿宋_GB2312" w:hAnsi="楷体_GB2312" w:eastAsia="仿宋_GB2312" w:cs="楷体_GB2312"/>
          <w:b w:val="0"/>
          <w:bCs/>
          <w:i w:val="0"/>
          <w:iCs/>
          <w:snapToGrid w:val="0"/>
          <w:kern w:val="0"/>
          <w:sz w:val="32"/>
          <w:szCs w:val="32"/>
          <w:u w:val="none"/>
          <w:lang w:val="en-US" w:eastAsia="zh-CN"/>
        </w:rPr>
        <w:t>区</w:t>
      </w:r>
      <w:r>
        <w:rPr>
          <w:rFonts w:hint="default" w:ascii="仿宋_GB2312" w:hAnsi="楷体_GB2312" w:eastAsia="仿宋_GB2312" w:cs="楷体_GB2312"/>
          <w:b w:val="0"/>
          <w:bCs/>
          <w:i w:val="0"/>
          <w:iCs/>
          <w:snapToGrid w:val="0"/>
          <w:kern w:val="0"/>
          <w:sz w:val="32"/>
          <w:szCs w:val="32"/>
          <w:u w:val="none"/>
          <w:lang w:val="en-US" w:eastAsia="zh-CN"/>
        </w:rPr>
        <w:t>行业综合许可范围扩展至</w:t>
      </w:r>
      <w:r>
        <w:rPr>
          <w:rFonts w:hint="eastAsia" w:hAnsi="楷体_GB2312" w:cs="楷体_GB2312"/>
          <w:b w:val="0"/>
          <w:bCs/>
          <w:i w:val="0"/>
          <w:iCs/>
          <w:snapToGrid w:val="0"/>
          <w:kern w:val="0"/>
          <w:sz w:val="32"/>
          <w:szCs w:val="32"/>
          <w:u w:val="none"/>
          <w:lang w:val="en-US" w:eastAsia="zh-CN"/>
        </w:rPr>
        <w:t>更多</w:t>
      </w:r>
      <w:r>
        <w:rPr>
          <w:rFonts w:hint="default" w:ascii="仿宋_GB2312" w:hAnsi="楷体_GB2312" w:eastAsia="仿宋_GB2312" w:cs="楷体_GB2312"/>
          <w:b w:val="0"/>
          <w:bCs/>
          <w:i w:val="0"/>
          <w:iCs/>
          <w:snapToGrid w:val="0"/>
          <w:kern w:val="0"/>
          <w:sz w:val="32"/>
          <w:szCs w:val="32"/>
          <w:u w:val="none"/>
          <w:lang w:val="en-US" w:eastAsia="zh-CN"/>
        </w:rPr>
        <w:t>行业</w:t>
      </w:r>
      <w:r>
        <w:rPr>
          <w:rFonts w:hint="eastAsia" w:ascii="仿宋_GB2312" w:hAnsi="楷体_GB2312" w:eastAsia="仿宋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按照“一单覆盖、一门办理、一次告知、一表申请、一窗受理、一同核查、一并审批、一证准营、一体联动”的九个一工作要求持续推进，</w:t>
      </w:r>
      <w:r>
        <w:rPr>
          <w:rFonts w:hint="eastAsia" w:hAnsi="楷体_GB2312" w:cs="楷体_GB2312"/>
          <w:b w:val="0"/>
          <w:bCs/>
          <w:i w:val="0"/>
          <w:iCs/>
          <w:snapToGrid w:val="0"/>
          <w:kern w:val="0"/>
          <w:sz w:val="32"/>
          <w:szCs w:val="32"/>
          <w:u w:val="none"/>
          <w:lang w:val="en-US" w:eastAsia="zh-CN"/>
        </w:rPr>
        <w:t>大幅降低行业准入成本，</w:t>
      </w:r>
      <w:r>
        <w:rPr>
          <w:rFonts w:hint="default" w:ascii="仿宋_GB2312" w:hAnsi="楷体_GB2312" w:eastAsia="仿宋_GB2312" w:cs="楷体_GB2312"/>
          <w:b w:val="0"/>
          <w:bCs/>
          <w:i w:val="0"/>
          <w:iCs/>
          <w:snapToGrid w:val="0"/>
          <w:kern w:val="0"/>
          <w:sz w:val="32"/>
          <w:szCs w:val="32"/>
          <w:u w:val="none"/>
          <w:lang w:val="en-US" w:eastAsia="zh-CN"/>
        </w:rPr>
        <w:t>促进市场主体高质量发展。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（十一）优化提升</w:t>
      </w:r>
      <w:r>
        <w:rPr>
          <w:rFonts w:hint="default" w:ascii="楷体_GB2312" w:hAnsi="楷体_GB2312" w:eastAsia="楷体_GB2312" w:cs="楷体_GB2312"/>
          <w:b w:val="0"/>
          <w:bCs/>
          <w:i w:val="0"/>
          <w:iCs/>
          <w:snapToGrid w:val="0"/>
          <w:kern w:val="0"/>
          <w:sz w:val="32"/>
          <w:szCs w:val="32"/>
          <w:u w:val="none"/>
          <w:lang w:val="en-US" w:eastAsia="zh-CN"/>
        </w:rPr>
        <w:t>容缺受理</w:t>
      </w:r>
      <w:r>
        <w:rPr>
          <w:rFonts w:hint="eastAsia" w:ascii="楷体_GB2312" w:hAnsi="楷体_GB2312" w:eastAsia="楷体_GB2312" w:cs="楷体_GB2312"/>
          <w:b w:val="0"/>
          <w:bCs/>
          <w:i w:val="0"/>
          <w:iCs/>
          <w:snapToGrid w:val="0"/>
          <w:kern w:val="0"/>
          <w:sz w:val="32"/>
          <w:szCs w:val="32"/>
          <w:u w:val="none"/>
          <w:lang w:val="en-US" w:eastAsia="zh-CN"/>
        </w:rPr>
        <w:t>、告知承诺</w:t>
      </w:r>
      <w:r>
        <w:rPr>
          <w:rFonts w:hint="default" w:ascii="楷体_GB2312" w:hAnsi="楷体_GB2312" w:eastAsia="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涉企事项审批受理全面实行“容缺”，材料补正后及时出具办理结果。对涉及市场主体准营的行政许可事项，进一步扩大告知承诺审批范围，通过事中事后监管能够纠正且不会产生严重后果的事项，全部实行承诺制信任审批。做好信用“联合奖惩”和“信用核查”工作的推广应用，将省公共信用信息平台全面接入</w:t>
      </w:r>
      <w:r>
        <w:rPr>
          <w:rFonts w:hint="eastAsia" w:hAnsi="楷体_GB2312" w:cs="楷体_GB2312"/>
          <w:b w:val="0"/>
          <w:bCs/>
          <w:i w:val="0"/>
          <w:iCs/>
          <w:snapToGrid w:val="0"/>
          <w:kern w:val="0"/>
          <w:sz w:val="32"/>
          <w:szCs w:val="32"/>
          <w:u w:val="none"/>
          <w:lang w:val="en-US" w:eastAsia="zh-CN"/>
        </w:rPr>
        <w:t>区</w:t>
      </w:r>
      <w:r>
        <w:rPr>
          <w:rFonts w:hint="default" w:ascii="仿宋_GB2312" w:hAnsi="楷体_GB2312" w:eastAsia="仿宋_GB2312" w:cs="楷体_GB2312"/>
          <w:b w:val="0"/>
          <w:bCs/>
          <w:i w:val="0"/>
          <w:iCs/>
          <w:snapToGrid w:val="0"/>
          <w:kern w:val="0"/>
          <w:sz w:val="32"/>
          <w:szCs w:val="32"/>
          <w:u w:val="none"/>
          <w:lang w:val="en-US" w:eastAsia="zh-CN"/>
        </w:rPr>
        <w:t>政务服务大厅，做到“逢办必查</w:t>
      </w:r>
      <w:r>
        <w:rPr>
          <w:rFonts w:hint="eastAsia" w:hAnsi="楷体_GB2312" w:cs="楷体_GB2312"/>
          <w:b w:val="0"/>
          <w:bCs/>
          <w:i w:val="0"/>
          <w:iCs/>
          <w:snapToGrid w:val="0"/>
          <w:kern w:val="0"/>
          <w:sz w:val="32"/>
          <w:szCs w:val="32"/>
          <w:u w:val="none"/>
          <w:lang w:val="en-US" w:eastAsia="zh-CN"/>
        </w:rPr>
        <w:t>、</w:t>
      </w:r>
      <w:r>
        <w:rPr>
          <w:rFonts w:hint="default" w:ascii="仿宋_GB2312" w:hAnsi="楷体_GB2312" w:eastAsia="仿宋_GB2312" w:cs="楷体_GB2312"/>
          <w:b w:val="0"/>
          <w:bCs/>
          <w:i w:val="0"/>
          <w:iCs/>
          <w:snapToGrid w:val="0"/>
          <w:kern w:val="0"/>
          <w:sz w:val="32"/>
          <w:szCs w:val="32"/>
          <w:u w:val="none"/>
          <w:lang w:val="en-US" w:eastAsia="zh-CN"/>
        </w:rPr>
        <w:t>即查即用”。</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leftChars="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（十二）持续降低企业运营成本。</w:t>
      </w:r>
      <w:r>
        <w:rPr>
          <w:rFonts w:hint="default" w:hAnsi="楷体_GB2312" w:cs="楷体_GB2312"/>
          <w:b w:val="0"/>
          <w:bCs/>
          <w:i w:val="0"/>
          <w:iCs/>
          <w:snapToGrid w:val="0"/>
          <w:kern w:val="0"/>
          <w:sz w:val="32"/>
          <w:szCs w:val="32"/>
          <w:u w:val="none"/>
          <w:lang w:val="en-US" w:eastAsia="zh-CN"/>
        </w:rPr>
        <w:t>全面推行网上中介超市制度，对具备资质的专业机构实行“申请即入”。</w:t>
      </w:r>
      <w:r>
        <w:rPr>
          <w:rFonts w:hint="eastAsia" w:ascii="仿宋_GB2312" w:hAnsi="楷体_GB2312" w:eastAsia="仿宋_GB2312" w:cs="楷体_GB2312"/>
          <w:b w:val="0"/>
          <w:bCs/>
          <w:i w:val="0"/>
          <w:iCs/>
          <w:snapToGrid w:val="0"/>
          <w:kern w:val="0"/>
          <w:sz w:val="32"/>
          <w:szCs w:val="32"/>
          <w:u w:val="none"/>
          <w:lang w:val="en-US" w:eastAsia="zh-CN"/>
        </w:rPr>
        <w:t>对政务服务涉及的资料复印、公章刻制、涉税办理、证照寄递、CA数字证书等实行全免费。</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default" w:hAnsi="楷体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（十三）加强完善审批监管衔接。</w:t>
      </w:r>
      <w:r>
        <w:rPr>
          <w:rFonts w:hint="eastAsia" w:ascii="仿宋_GB2312" w:hAnsi="楷体_GB2312" w:eastAsia="仿宋_GB2312" w:cs="楷体_GB2312"/>
          <w:b w:val="0"/>
          <w:bCs/>
          <w:i w:val="0"/>
          <w:iCs/>
          <w:snapToGrid w:val="0"/>
          <w:kern w:val="0"/>
          <w:sz w:val="32"/>
          <w:szCs w:val="32"/>
          <w:u w:val="none"/>
          <w:lang w:val="en-US" w:eastAsia="zh-CN"/>
        </w:rPr>
        <w:t>发挥“制度+办法+清单”三位一体的机制作用，做到审批</w:t>
      </w:r>
      <w:r>
        <w:rPr>
          <w:rFonts w:hint="eastAsia" w:hAnsi="楷体_GB2312" w:cs="楷体_GB2312"/>
          <w:b w:val="0"/>
          <w:bCs/>
          <w:i w:val="0"/>
          <w:iCs/>
          <w:snapToGrid w:val="0"/>
          <w:kern w:val="0"/>
          <w:sz w:val="32"/>
          <w:szCs w:val="32"/>
          <w:u w:val="none"/>
          <w:lang w:val="en-US" w:eastAsia="zh-CN"/>
        </w:rPr>
        <w:t>与</w:t>
      </w:r>
      <w:r>
        <w:rPr>
          <w:rFonts w:hint="eastAsia" w:ascii="仿宋_GB2312" w:hAnsi="楷体_GB2312" w:eastAsia="仿宋_GB2312" w:cs="楷体_GB2312"/>
          <w:b w:val="0"/>
          <w:bCs/>
          <w:i w:val="0"/>
          <w:iCs/>
          <w:snapToGrid w:val="0"/>
          <w:kern w:val="0"/>
          <w:sz w:val="32"/>
          <w:szCs w:val="32"/>
          <w:u w:val="none"/>
          <w:lang w:val="en-US" w:eastAsia="zh-CN"/>
        </w:rPr>
        <w:t>监管职责</w:t>
      </w:r>
      <w:r>
        <w:rPr>
          <w:rFonts w:hint="eastAsia" w:hAnsi="楷体_GB2312" w:cs="楷体_GB2312"/>
          <w:b w:val="0"/>
          <w:bCs/>
          <w:i w:val="0"/>
          <w:iCs/>
          <w:snapToGrid w:val="0"/>
          <w:kern w:val="0"/>
          <w:sz w:val="32"/>
          <w:szCs w:val="32"/>
          <w:u w:val="none"/>
          <w:lang w:val="en-US" w:eastAsia="zh-CN"/>
        </w:rPr>
        <w:t>明确</w:t>
      </w:r>
      <w:r>
        <w:rPr>
          <w:rFonts w:hint="eastAsia" w:ascii="仿宋_GB2312" w:hAnsi="楷体_GB2312" w:eastAsia="仿宋_GB2312" w:cs="楷体_GB2312"/>
          <w:b w:val="0"/>
          <w:bCs/>
          <w:i w:val="0"/>
          <w:iCs/>
          <w:snapToGrid w:val="0"/>
          <w:kern w:val="0"/>
          <w:sz w:val="32"/>
          <w:szCs w:val="32"/>
          <w:u w:val="none"/>
          <w:lang w:val="en-US" w:eastAsia="zh-CN"/>
        </w:rPr>
        <w:t>、资源共享、业务协同。理顺畅通与省直部门的业务指导关系，加强行政审批与事中事后监管日常信息交流互动，确保各监管职能部门及时掌握审批办理情况，行政审批</w:t>
      </w:r>
      <w:r>
        <w:rPr>
          <w:rFonts w:hint="eastAsia" w:hAnsi="楷体_GB2312" w:cs="楷体_GB2312"/>
          <w:b w:val="0"/>
          <w:bCs/>
          <w:i w:val="0"/>
          <w:iCs/>
          <w:snapToGrid w:val="0"/>
          <w:kern w:val="0"/>
          <w:sz w:val="32"/>
          <w:szCs w:val="32"/>
          <w:u w:val="none"/>
          <w:lang w:val="en-US" w:eastAsia="zh-CN"/>
        </w:rPr>
        <w:t>部门</w:t>
      </w:r>
      <w:r>
        <w:rPr>
          <w:rFonts w:hint="eastAsia" w:ascii="仿宋_GB2312" w:hAnsi="楷体_GB2312" w:eastAsia="仿宋_GB2312" w:cs="楷体_GB2312"/>
          <w:b w:val="0"/>
          <w:bCs/>
          <w:i w:val="0"/>
          <w:iCs/>
          <w:snapToGrid w:val="0"/>
          <w:kern w:val="0"/>
          <w:sz w:val="32"/>
          <w:szCs w:val="32"/>
          <w:u w:val="none"/>
          <w:lang w:val="en-US" w:eastAsia="zh-CN"/>
        </w:rPr>
        <w:t>及时掌握监管部门反馈信息</w:t>
      </w:r>
      <w:r>
        <w:rPr>
          <w:rFonts w:hint="eastAsia" w:hAnsi="楷体_GB2312" w:cs="楷体_GB2312"/>
          <w:b w:val="0"/>
          <w:bCs/>
          <w:i w:val="0"/>
          <w:iCs/>
          <w:snapToGrid w:val="0"/>
          <w:kern w:val="0"/>
          <w:sz w:val="32"/>
          <w:szCs w:val="32"/>
          <w:u w:val="none"/>
          <w:lang w:val="en-US" w:eastAsia="zh-CN"/>
        </w:rPr>
        <w:t>，</w:t>
      </w:r>
      <w:r>
        <w:rPr>
          <w:rFonts w:hint="eastAsia" w:ascii="仿宋_GB2312" w:hAnsi="楷体_GB2312" w:eastAsia="仿宋_GB2312" w:cs="楷体_GB2312"/>
          <w:b w:val="0"/>
          <w:bCs/>
          <w:i w:val="0"/>
          <w:iCs/>
          <w:snapToGrid w:val="0"/>
          <w:kern w:val="0"/>
          <w:sz w:val="32"/>
          <w:szCs w:val="32"/>
          <w:u w:val="none"/>
          <w:lang w:val="en-US" w:eastAsia="zh-CN"/>
        </w:rPr>
        <w:t>解决业务指导不直接、不充分和信息沟通不畅等问题。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rPr>
      </w:pPr>
      <w:r>
        <w:rPr>
          <w:rFonts w:hint="eastAsia" w:ascii="楷体_GB2312" w:hAnsi="楷体_GB2312" w:eastAsia="楷体_GB2312" w:cs="楷体_GB2312"/>
          <w:b w:val="0"/>
          <w:bCs/>
          <w:i w:val="0"/>
          <w:iCs/>
          <w:snapToGrid w:val="0"/>
          <w:kern w:val="0"/>
          <w:sz w:val="32"/>
          <w:szCs w:val="32"/>
          <w:u w:val="none"/>
          <w:lang w:val="en-US" w:eastAsia="zh-CN"/>
        </w:rPr>
        <w:t>（十四）</w:t>
      </w:r>
      <w:r>
        <w:rPr>
          <w:rFonts w:hint="default" w:ascii="楷体_GB2312" w:hAnsi="楷体_GB2312" w:eastAsia="楷体_GB2312" w:cs="楷体_GB2312"/>
          <w:b w:val="0"/>
          <w:bCs/>
          <w:i w:val="0"/>
          <w:iCs/>
          <w:snapToGrid w:val="0"/>
          <w:kern w:val="0"/>
          <w:sz w:val="32"/>
          <w:szCs w:val="32"/>
          <w:u w:val="none"/>
          <w:lang w:val="en-US" w:eastAsia="zh-CN"/>
        </w:rPr>
        <w:t>建设高标准智能交易平台。</w:t>
      </w:r>
      <w:r>
        <w:rPr>
          <w:rFonts w:hint="eastAsia" w:ascii="仿宋_GB2312" w:hAnsi="楷体_GB2312" w:eastAsia="仿宋_GB2312" w:cs="楷体_GB2312"/>
          <w:b w:val="0"/>
          <w:bCs/>
          <w:i w:val="0"/>
          <w:iCs/>
          <w:snapToGrid w:val="0"/>
          <w:kern w:val="0"/>
          <w:sz w:val="32"/>
          <w:szCs w:val="32"/>
          <w:u w:val="none"/>
          <w:lang w:val="en-US" w:eastAsia="zh-CN"/>
        </w:rPr>
        <w:t>依托全市</w:t>
      </w:r>
      <w:r>
        <w:rPr>
          <w:rFonts w:hint="default" w:ascii="仿宋_GB2312" w:hAnsi="楷体_GB2312" w:eastAsia="仿宋_GB2312" w:cs="楷体_GB2312"/>
          <w:b w:val="0"/>
          <w:bCs/>
          <w:i w:val="0"/>
          <w:iCs/>
          <w:snapToGrid w:val="0"/>
          <w:kern w:val="0"/>
          <w:sz w:val="32"/>
          <w:szCs w:val="32"/>
          <w:u w:val="none"/>
          <w:lang w:val="en-US" w:eastAsia="zh-CN"/>
        </w:rPr>
        <w:t>智能化电子交易平台，</w:t>
      </w:r>
      <w:r>
        <w:rPr>
          <w:rFonts w:hint="eastAsia" w:hAnsi="楷体_GB2312" w:cs="楷体_GB2312"/>
          <w:b w:val="0"/>
          <w:bCs/>
          <w:i w:val="0"/>
          <w:iCs/>
          <w:snapToGrid w:val="0"/>
          <w:kern w:val="0"/>
          <w:sz w:val="32"/>
          <w:szCs w:val="32"/>
          <w:u w:val="none"/>
          <w:lang w:val="en-US" w:eastAsia="zh-CN"/>
        </w:rPr>
        <w:t>推进全流程电子化交易，</w:t>
      </w:r>
      <w:r>
        <w:rPr>
          <w:rFonts w:hint="default" w:ascii="仿宋_GB2312" w:hAnsi="楷体_GB2312" w:eastAsia="仿宋_GB2312" w:cs="楷体_GB2312"/>
          <w:b w:val="0"/>
          <w:bCs/>
          <w:i w:val="0"/>
          <w:iCs/>
          <w:snapToGrid w:val="0"/>
          <w:kern w:val="0"/>
          <w:sz w:val="32"/>
          <w:szCs w:val="32"/>
          <w:u w:val="none"/>
          <w:lang w:val="en-US" w:eastAsia="zh-CN"/>
        </w:rPr>
        <w:t>实现不见面开标、远程异地评标、大数据分析和电子档案管理等多种功能，让“数据多跑路、企业少跑腿”</w:t>
      </w:r>
      <w:r>
        <w:rPr>
          <w:rFonts w:hint="eastAsia" w:hAnsi="楷体_GB2312" w:cs="楷体_GB2312"/>
          <w:b w:val="0"/>
          <w:bCs/>
          <w:i w:val="0"/>
          <w:iCs/>
          <w:snapToGrid w:val="0"/>
          <w:kern w:val="0"/>
          <w:sz w:val="32"/>
          <w:szCs w:val="32"/>
          <w:u w:val="none"/>
          <w:lang w:val="en-US" w:eastAsia="zh-CN"/>
        </w:rPr>
        <w:t>，推进交易服务效能提升</w:t>
      </w:r>
      <w:r>
        <w:rPr>
          <w:rFonts w:hint="default" w:ascii="仿宋_GB2312" w:hAnsi="楷体_GB2312" w:eastAsia="仿宋_GB2312" w:cs="楷体_GB2312"/>
          <w:b w:val="0"/>
          <w:bCs/>
          <w:i w:val="0"/>
          <w:iCs/>
          <w:snapToGrid w:val="0"/>
          <w:kern w:val="0"/>
          <w:sz w:val="32"/>
          <w:szCs w:val="32"/>
          <w:u w:val="none"/>
          <w:lang w:val="en-US" w:eastAsia="zh-CN"/>
        </w:rPr>
        <w:t>。赋予社会投资的房屋建筑工程建设单位发包自主权，消除在招投标过程中对不同所有制企业设置的各类不合理限制和壁垒。</w:t>
      </w:r>
    </w:p>
    <w:p>
      <w:pPr>
        <w:pStyle w:val="4"/>
        <w:keepNext w:val="0"/>
        <w:keepLines w:val="0"/>
        <w:pageBreakBefore w:val="0"/>
        <w:widowControl w:val="0"/>
        <w:kinsoku/>
        <w:wordWrap/>
        <w:overflowPunct/>
        <w:topLinePunct w:val="0"/>
        <w:autoSpaceDE/>
        <w:autoSpaceDN/>
        <w:bidi w:val="0"/>
        <w:adjustRightInd/>
        <w:snapToGrid/>
        <w:spacing w:before="0" w:line="540" w:lineRule="exact"/>
        <w:ind w:left="0" w:firstLine="640" w:firstLineChars="200"/>
        <w:jc w:val="both"/>
        <w:textAlignment w:val="baseline"/>
        <w:rPr>
          <w:rFonts w:hint="eastAsia" w:ascii="黑体" w:hAnsi="黑体" w:eastAsia="黑体" w:cs="黑体"/>
          <w:b w:val="0"/>
          <w:bCs/>
          <w:i w:val="0"/>
          <w:iCs/>
          <w:snapToGrid w:val="0"/>
          <w:kern w:val="0"/>
          <w:sz w:val="32"/>
          <w:szCs w:val="32"/>
          <w:u w:val="none"/>
          <w:lang w:eastAsia="zh-CN"/>
        </w:rPr>
      </w:pPr>
      <w:r>
        <w:rPr>
          <w:rFonts w:hint="eastAsia" w:ascii="黑体" w:hAnsi="黑体" w:eastAsia="黑体" w:cs="黑体"/>
          <w:b w:val="0"/>
          <w:bCs/>
          <w:i w:val="0"/>
          <w:iCs/>
          <w:snapToGrid w:val="0"/>
          <w:kern w:val="0"/>
          <w:sz w:val="32"/>
          <w:szCs w:val="32"/>
          <w:u w:val="none"/>
          <w:lang w:eastAsia="zh-CN"/>
        </w:rPr>
        <w:t>三、保障措施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bidi="ar-SA"/>
        </w:rPr>
      </w:pPr>
      <w:r>
        <w:rPr>
          <w:rFonts w:hint="eastAsia" w:ascii="楷体" w:hAnsi="楷体" w:eastAsia="楷体" w:cs="楷体"/>
          <w:b w:val="0"/>
          <w:bCs/>
          <w:i w:val="0"/>
          <w:iCs/>
          <w:snapToGrid w:val="0"/>
          <w:kern w:val="0"/>
          <w:sz w:val="32"/>
          <w:szCs w:val="32"/>
          <w:u w:val="none"/>
          <w:lang w:val="en-US" w:eastAsia="zh-CN" w:bidi="ar-SA"/>
        </w:rPr>
        <w:t>（一）加强组织领导。</w:t>
      </w:r>
      <w:r>
        <w:rPr>
          <w:rFonts w:hint="default" w:ascii="仿宋_GB2312" w:hAnsi="楷体_GB2312" w:eastAsia="仿宋_GB2312" w:cs="楷体_GB2312"/>
          <w:b w:val="0"/>
          <w:bCs/>
          <w:i w:val="0"/>
          <w:iCs/>
          <w:snapToGrid w:val="0"/>
          <w:kern w:val="0"/>
          <w:sz w:val="32"/>
          <w:szCs w:val="32"/>
          <w:u w:val="none"/>
          <w:lang w:val="en-US" w:eastAsia="zh-CN" w:bidi="ar-SA"/>
        </w:rPr>
        <w:t>成立</w:t>
      </w:r>
      <w:r>
        <w:rPr>
          <w:rFonts w:hint="eastAsia" w:ascii="仿宋_GB2312" w:hAnsi="楷体_GB2312" w:eastAsia="仿宋_GB2312" w:cs="楷体_GB2312"/>
          <w:b w:val="0"/>
          <w:bCs/>
          <w:i w:val="0"/>
          <w:iCs/>
          <w:snapToGrid w:val="0"/>
          <w:kern w:val="0"/>
          <w:sz w:val="32"/>
          <w:szCs w:val="32"/>
          <w:u w:val="none"/>
          <w:lang w:val="en-US" w:eastAsia="zh-CN" w:bidi="ar-SA"/>
        </w:rPr>
        <w:t>山亭区行政审批服务局贯彻落实全区“工业强区、产业兴区”三年攻坚突破行动高质量打造“亭好办”政务服务品牌领导小组，负责</w:t>
      </w:r>
      <w:r>
        <w:rPr>
          <w:rFonts w:hint="default" w:ascii="仿宋_GB2312" w:hAnsi="楷体_GB2312" w:eastAsia="仿宋_GB2312" w:cs="楷体_GB2312"/>
          <w:b w:val="0"/>
          <w:bCs/>
          <w:i w:val="0"/>
          <w:iCs/>
          <w:snapToGrid w:val="0"/>
          <w:kern w:val="0"/>
          <w:sz w:val="32"/>
          <w:szCs w:val="32"/>
          <w:u w:val="none"/>
          <w:lang w:val="en-US" w:eastAsia="zh-CN" w:bidi="ar-SA"/>
        </w:rPr>
        <w:t>牵头抓总、统筹协调，推进落实重大</w:t>
      </w:r>
      <w:r>
        <w:rPr>
          <w:rFonts w:hint="eastAsia" w:ascii="仿宋_GB2312" w:hAnsi="楷体_GB2312" w:eastAsia="仿宋_GB2312" w:cs="楷体_GB2312"/>
          <w:b w:val="0"/>
          <w:bCs/>
          <w:i w:val="0"/>
          <w:iCs/>
          <w:snapToGrid w:val="0"/>
          <w:kern w:val="0"/>
          <w:sz w:val="32"/>
          <w:szCs w:val="32"/>
          <w:u w:val="none"/>
          <w:lang w:val="en-US" w:eastAsia="zh-CN" w:bidi="ar-SA"/>
        </w:rPr>
        <w:t>任务</w:t>
      </w:r>
      <w:r>
        <w:rPr>
          <w:rFonts w:hint="default" w:ascii="仿宋_GB2312" w:hAnsi="楷体_GB2312" w:eastAsia="仿宋_GB2312" w:cs="楷体_GB2312"/>
          <w:b w:val="0"/>
          <w:bCs/>
          <w:i w:val="0"/>
          <w:iCs/>
          <w:snapToGrid w:val="0"/>
          <w:kern w:val="0"/>
          <w:sz w:val="32"/>
          <w:szCs w:val="32"/>
          <w:u w:val="none"/>
          <w:lang w:val="en-US" w:eastAsia="zh-CN" w:bidi="ar-SA"/>
        </w:rPr>
        <w:t>、重大政策和重要工作</w:t>
      </w:r>
      <w:r>
        <w:rPr>
          <w:rFonts w:hint="eastAsia" w:ascii="仿宋_GB2312" w:hAnsi="楷体_GB2312" w:eastAsia="仿宋_GB2312" w:cs="楷体_GB2312"/>
          <w:b w:val="0"/>
          <w:bCs/>
          <w:i w:val="0"/>
          <w:iCs/>
          <w:snapToGrid w:val="0"/>
          <w:kern w:val="0"/>
          <w:sz w:val="32"/>
          <w:szCs w:val="32"/>
          <w:u w:val="none"/>
          <w:lang w:val="en-US" w:eastAsia="zh-CN" w:bidi="ar-SA"/>
        </w:rPr>
        <w:t>。</w:t>
      </w:r>
      <w:r>
        <w:rPr>
          <w:rFonts w:hint="default" w:ascii="仿宋_GB2312" w:hAnsi="楷体_GB2312" w:eastAsia="仿宋_GB2312" w:cs="楷体_GB2312"/>
          <w:b w:val="0"/>
          <w:bCs/>
          <w:i w:val="0"/>
          <w:iCs/>
          <w:snapToGrid w:val="0"/>
          <w:kern w:val="0"/>
          <w:sz w:val="32"/>
          <w:szCs w:val="32"/>
          <w:u w:val="none"/>
          <w:lang w:val="en-US" w:eastAsia="zh-CN" w:bidi="ar-SA"/>
        </w:rPr>
        <w:t>各</w:t>
      </w:r>
      <w:r>
        <w:rPr>
          <w:rFonts w:hint="eastAsia" w:ascii="仿宋_GB2312" w:hAnsi="楷体_GB2312" w:eastAsia="仿宋_GB2312" w:cs="楷体_GB2312"/>
          <w:b w:val="0"/>
          <w:bCs/>
          <w:i w:val="0"/>
          <w:iCs/>
          <w:snapToGrid w:val="0"/>
          <w:kern w:val="0"/>
          <w:sz w:val="32"/>
          <w:szCs w:val="32"/>
          <w:u w:val="none"/>
          <w:lang w:val="en-US" w:eastAsia="zh-CN" w:bidi="ar-SA"/>
        </w:rPr>
        <w:t>股室（组）、中心</w:t>
      </w:r>
      <w:r>
        <w:rPr>
          <w:rFonts w:hint="default" w:ascii="仿宋_GB2312" w:hAnsi="楷体_GB2312" w:eastAsia="仿宋_GB2312" w:cs="楷体_GB2312"/>
          <w:b w:val="0"/>
          <w:bCs/>
          <w:i w:val="0"/>
          <w:iCs/>
          <w:snapToGrid w:val="0"/>
          <w:kern w:val="0"/>
          <w:sz w:val="32"/>
          <w:szCs w:val="32"/>
          <w:u w:val="none"/>
          <w:lang w:val="en-US" w:eastAsia="zh-CN" w:bidi="ar-SA"/>
        </w:rPr>
        <w:t>要立足</w:t>
      </w:r>
      <w:r>
        <w:rPr>
          <w:rFonts w:hint="eastAsia" w:ascii="仿宋_GB2312" w:hAnsi="楷体_GB2312" w:eastAsia="仿宋_GB2312" w:cs="楷体_GB2312"/>
          <w:b w:val="0"/>
          <w:bCs/>
          <w:i w:val="0"/>
          <w:iCs/>
          <w:snapToGrid w:val="0"/>
          <w:kern w:val="0"/>
          <w:sz w:val="32"/>
          <w:szCs w:val="32"/>
          <w:u w:val="none"/>
          <w:lang w:val="en-US" w:eastAsia="zh-CN" w:bidi="ar-SA"/>
        </w:rPr>
        <w:t>利企便民实际</w:t>
      </w:r>
      <w:r>
        <w:rPr>
          <w:rFonts w:hint="default" w:ascii="仿宋_GB2312" w:hAnsi="楷体_GB2312" w:eastAsia="仿宋_GB2312" w:cs="楷体_GB2312"/>
          <w:b w:val="0"/>
          <w:bCs/>
          <w:i w:val="0"/>
          <w:iCs/>
          <w:snapToGrid w:val="0"/>
          <w:kern w:val="0"/>
          <w:sz w:val="32"/>
          <w:szCs w:val="32"/>
          <w:u w:val="none"/>
          <w:lang w:val="en-US" w:eastAsia="zh-CN" w:bidi="ar-SA"/>
        </w:rPr>
        <w:t>，强化责任意识，逐</w:t>
      </w:r>
      <w:r>
        <w:rPr>
          <w:rFonts w:hint="eastAsia" w:ascii="仿宋_GB2312" w:hAnsi="楷体_GB2312" w:eastAsia="仿宋_GB2312" w:cs="楷体_GB2312"/>
          <w:b w:val="0"/>
          <w:bCs/>
          <w:i w:val="0"/>
          <w:iCs/>
          <w:snapToGrid w:val="0"/>
          <w:kern w:val="0"/>
          <w:sz w:val="32"/>
          <w:szCs w:val="32"/>
          <w:u w:val="none"/>
          <w:lang w:val="en-US" w:eastAsia="zh-CN" w:bidi="ar-SA"/>
        </w:rPr>
        <w:t>项</w:t>
      </w:r>
      <w:r>
        <w:rPr>
          <w:rFonts w:hint="default" w:ascii="仿宋_GB2312" w:hAnsi="楷体_GB2312" w:eastAsia="仿宋_GB2312" w:cs="楷体_GB2312"/>
          <w:b w:val="0"/>
          <w:bCs/>
          <w:i w:val="0"/>
          <w:iCs/>
          <w:snapToGrid w:val="0"/>
          <w:kern w:val="0"/>
          <w:sz w:val="32"/>
          <w:szCs w:val="32"/>
          <w:u w:val="none"/>
          <w:lang w:val="en-US" w:eastAsia="zh-CN" w:bidi="ar-SA"/>
        </w:rPr>
        <w:t>细化分解目标任务，</w:t>
      </w:r>
      <w:r>
        <w:rPr>
          <w:rFonts w:hint="eastAsia" w:ascii="仿宋_GB2312" w:hAnsi="楷体_GB2312" w:eastAsia="仿宋_GB2312" w:cs="楷体_GB2312"/>
          <w:b w:val="0"/>
          <w:bCs/>
          <w:i w:val="0"/>
          <w:iCs/>
          <w:snapToGrid w:val="0"/>
          <w:kern w:val="0"/>
          <w:sz w:val="32"/>
          <w:szCs w:val="32"/>
          <w:u w:val="none"/>
          <w:lang w:val="en-US" w:eastAsia="zh-CN" w:bidi="ar-SA"/>
        </w:rPr>
        <w:t>制定</w:t>
      </w:r>
      <w:r>
        <w:rPr>
          <w:rFonts w:hint="default" w:ascii="仿宋_GB2312" w:hAnsi="楷体_GB2312" w:eastAsia="仿宋_GB2312" w:cs="楷体_GB2312"/>
          <w:b w:val="0"/>
          <w:bCs/>
          <w:i w:val="0"/>
          <w:iCs/>
          <w:snapToGrid w:val="0"/>
          <w:kern w:val="0"/>
          <w:sz w:val="32"/>
          <w:szCs w:val="32"/>
          <w:u w:val="none"/>
          <w:lang w:val="en-US" w:eastAsia="zh-CN" w:bidi="ar-SA"/>
        </w:rPr>
        <w:t>具体实施方案，确保各项工作落实到位。</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ascii="仿宋_GB2312" w:hAnsi="楷体_GB2312" w:eastAsia="仿宋_GB2312" w:cs="楷体_GB2312"/>
          <w:b w:val="0"/>
          <w:bCs/>
          <w:i w:val="0"/>
          <w:iCs/>
          <w:snapToGrid w:val="0"/>
          <w:kern w:val="0"/>
          <w:sz w:val="32"/>
          <w:szCs w:val="32"/>
          <w:u w:val="none"/>
          <w:lang w:val="en-US" w:eastAsia="zh-CN" w:bidi="ar-SA"/>
        </w:rPr>
      </w:pPr>
      <w:r>
        <w:rPr>
          <w:rFonts w:hint="eastAsia" w:ascii="楷体" w:hAnsi="楷体" w:eastAsia="楷体" w:cs="楷体"/>
          <w:b w:val="0"/>
          <w:bCs/>
          <w:i w:val="0"/>
          <w:iCs/>
          <w:snapToGrid w:val="0"/>
          <w:kern w:val="0"/>
          <w:sz w:val="32"/>
          <w:szCs w:val="32"/>
          <w:u w:val="none"/>
          <w:lang w:val="en-US" w:eastAsia="zh-CN" w:bidi="ar-SA"/>
        </w:rPr>
        <w:t>（二）实施攻坚突破。</w:t>
      </w:r>
      <w:r>
        <w:rPr>
          <w:rFonts w:hint="eastAsia" w:ascii="仿宋_GB2312" w:hAnsi="楷体_GB2312" w:eastAsia="仿宋_GB2312" w:cs="楷体_GB2312"/>
          <w:b w:val="0"/>
          <w:bCs/>
          <w:i w:val="0"/>
          <w:iCs/>
          <w:snapToGrid w:val="0"/>
          <w:kern w:val="0"/>
          <w:sz w:val="32"/>
          <w:szCs w:val="32"/>
          <w:u w:val="none"/>
          <w:lang w:val="en-US" w:eastAsia="zh-CN" w:bidi="ar-SA"/>
        </w:rPr>
        <w:t>要聚焦市场主体和群众关切，积极探索、先行先试，推出一批含金量高的改革举措，加快形成可复制可推广的制度创新成果，持续推进营商环境优化提升。要加大统筹协调力度，针对短板弱项，对标国内先进和最佳实践，建立高质量打造“</w:t>
      </w:r>
      <w:r>
        <w:rPr>
          <w:rFonts w:hint="eastAsia" w:ascii="仿宋_GB2312" w:hAnsi="楷体_GB2312" w:cs="楷体_GB2312"/>
          <w:b w:val="0"/>
          <w:bCs/>
          <w:i w:val="0"/>
          <w:iCs/>
          <w:snapToGrid w:val="0"/>
          <w:kern w:val="0"/>
          <w:sz w:val="32"/>
          <w:szCs w:val="32"/>
          <w:u w:val="none"/>
          <w:lang w:val="en-US" w:eastAsia="zh-CN" w:bidi="ar-SA"/>
        </w:rPr>
        <w:t>亭</w:t>
      </w:r>
      <w:r>
        <w:rPr>
          <w:rFonts w:hint="eastAsia" w:ascii="仿宋_GB2312" w:hAnsi="楷体_GB2312" w:eastAsia="仿宋_GB2312" w:cs="楷体_GB2312"/>
          <w:b w:val="0"/>
          <w:bCs/>
          <w:i w:val="0"/>
          <w:iCs/>
          <w:snapToGrid w:val="0"/>
          <w:kern w:val="0"/>
          <w:sz w:val="32"/>
          <w:szCs w:val="32"/>
          <w:u w:val="none"/>
          <w:lang w:val="en-US" w:eastAsia="zh-CN" w:bidi="ar-SA"/>
        </w:rPr>
        <w:t>好</w:t>
      </w:r>
      <w:r>
        <w:rPr>
          <w:rFonts w:hint="eastAsia" w:ascii="仿宋_GB2312" w:hAnsi="楷体_GB2312" w:cs="楷体_GB2312"/>
          <w:b w:val="0"/>
          <w:bCs/>
          <w:i w:val="0"/>
          <w:iCs/>
          <w:snapToGrid w:val="0"/>
          <w:kern w:val="0"/>
          <w:sz w:val="32"/>
          <w:szCs w:val="32"/>
          <w:u w:val="none"/>
          <w:lang w:val="en-US" w:eastAsia="zh-CN" w:bidi="ar-SA"/>
        </w:rPr>
        <w:t>办</w:t>
      </w:r>
      <w:r>
        <w:rPr>
          <w:rFonts w:hint="eastAsia" w:ascii="仿宋_GB2312" w:hAnsi="楷体_GB2312" w:eastAsia="仿宋_GB2312" w:cs="楷体_GB2312"/>
          <w:b w:val="0"/>
          <w:bCs/>
          <w:i w:val="0"/>
          <w:iCs/>
          <w:snapToGrid w:val="0"/>
          <w:kern w:val="0"/>
          <w:sz w:val="32"/>
          <w:szCs w:val="32"/>
          <w:u w:val="none"/>
          <w:lang w:val="en-US" w:eastAsia="zh-CN" w:bidi="ar-SA"/>
        </w:rPr>
        <w:t>”政务服务品牌重点任务清单，开展专项突破行动。各股室（组）、中心要各负其责、密切配合，增强改革的整体性、系统性和协同性。</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eastAsia"/>
          <w:lang w:val="en-US" w:eastAsia="zh-CN"/>
        </w:rPr>
      </w:pPr>
      <w:r>
        <w:rPr>
          <w:rFonts w:hint="default" w:ascii="楷体" w:hAnsi="楷体" w:eastAsia="楷体" w:cs="楷体"/>
          <w:b w:val="0"/>
          <w:bCs/>
          <w:i w:val="0"/>
          <w:iCs/>
          <w:snapToGrid w:val="0"/>
          <w:kern w:val="0"/>
          <w:sz w:val="32"/>
          <w:szCs w:val="32"/>
          <w:u w:val="none"/>
          <w:lang w:val="en-US" w:eastAsia="zh-CN" w:bidi="ar-SA"/>
        </w:rPr>
        <w:t>（</w:t>
      </w:r>
      <w:r>
        <w:rPr>
          <w:rFonts w:hint="eastAsia" w:ascii="楷体" w:hAnsi="楷体" w:eastAsia="楷体" w:cs="楷体"/>
          <w:b w:val="0"/>
          <w:bCs/>
          <w:i w:val="0"/>
          <w:iCs/>
          <w:snapToGrid w:val="0"/>
          <w:kern w:val="0"/>
          <w:sz w:val="32"/>
          <w:szCs w:val="32"/>
          <w:u w:val="none"/>
          <w:lang w:val="en-US" w:eastAsia="zh-CN" w:bidi="ar-SA"/>
        </w:rPr>
        <w:t>三</w:t>
      </w:r>
      <w:r>
        <w:rPr>
          <w:rFonts w:hint="default" w:ascii="楷体" w:hAnsi="楷体" w:eastAsia="楷体" w:cs="楷体"/>
          <w:b w:val="0"/>
          <w:bCs/>
          <w:i w:val="0"/>
          <w:iCs/>
          <w:snapToGrid w:val="0"/>
          <w:kern w:val="0"/>
          <w:sz w:val="32"/>
          <w:szCs w:val="32"/>
          <w:u w:val="none"/>
          <w:lang w:val="en-US" w:eastAsia="zh-CN" w:bidi="ar-SA"/>
        </w:rPr>
        <w:t>）严格督导考核。</w:t>
      </w:r>
      <w:r>
        <w:rPr>
          <w:rFonts w:hint="eastAsia"/>
          <w:lang w:val="en-US" w:eastAsia="zh-CN"/>
        </w:rPr>
        <w:t>根据市里考核方向和标准，研究出台年度考核细则，</w:t>
      </w:r>
      <w:r>
        <w:rPr>
          <w:rFonts w:hint="default"/>
          <w:lang w:val="en-US" w:eastAsia="zh-CN"/>
        </w:rPr>
        <w:t>建立协调推进和督导机制，强化对目标任务完成情况的闭环管理、过程管控，掌握工作进展，解决存在问题。</w:t>
      </w:r>
      <w:r>
        <w:rPr>
          <w:rFonts w:hint="eastAsia"/>
          <w:lang w:val="en-US" w:eastAsia="zh-CN"/>
        </w:rPr>
        <w:t>要</w:t>
      </w:r>
      <w:r>
        <w:rPr>
          <w:rFonts w:hint="default"/>
          <w:lang w:val="en-US" w:eastAsia="zh-CN"/>
        </w:rPr>
        <w:t>以企业和群众的获得感和满意度作为评判标准，倒逼</w:t>
      </w:r>
      <w:r>
        <w:rPr>
          <w:rFonts w:hint="eastAsia"/>
          <w:lang w:val="en-US" w:eastAsia="zh-CN"/>
        </w:rPr>
        <w:t>审批窗口</w:t>
      </w:r>
      <w:r>
        <w:rPr>
          <w:rFonts w:hint="default"/>
          <w:lang w:val="en-US" w:eastAsia="zh-CN"/>
        </w:rPr>
        <w:t>深化改革、改进服务</w:t>
      </w:r>
      <w:r>
        <w:rPr>
          <w:rFonts w:hint="eastAsia"/>
          <w:lang w:val="en-US" w:eastAsia="zh-CN"/>
        </w:rPr>
        <w:t>。</w:t>
      </w:r>
      <w:r>
        <w:rPr>
          <w:rFonts w:hint="default"/>
          <w:lang w:val="en-US" w:eastAsia="zh-CN"/>
        </w:rPr>
        <w:t>对改革进度慢、政策不落实的</w:t>
      </w:r>
      <w:r>
        <w:rPr>
          <w:rFonts w:hint="eastAsia"/>
          <w:lang w:val="en-US" w:eastAsia="zh-CN"/>
        </w:rPr>
        <w:t>部门</w:t>
      </w:r>
      <w:r>
        <w:rPr>
          <w:rFonts w:hint="default"/>
          <w:lang w:val="en-US" w:eastAsia="zh-CN"/>
        </w:rPr>
        <w:t>和单位，及时督促整改；对严重损害</w:t>
      </w:r>
      <w:r>
        <w:rPr>
          <w:rFonts w:hint="eastAsia"/>
          <w:lang w:val="en-US" w:eastAsia="zh-CN"/>
        </w:rPr>
        <w:t>政务服务</w:t>
      </w:r>
      <w:r>
        <w:rPr>
          <w:rFonts w:hint="default"/>
          <w:lang w:val="en-US" w:eastAsia="zh-CN"/>
        </w:rPr>
        <w:t>环境和企业、群众利益的，</w:t>
      </w:r>
      <w:r>
        <w:rPr>
          <w:rFonts w:hint="eastAsia"/>
          <w:lang w:val="en-US" w:eastAsia="zh-CN"/>
        </w:rPr>
        <w:t>将予以通报约谈、严肃问责</w:t>
      </w:r>
      <w:r>
        <w:rPr>
          <w:rFonts w:hint="default"/>
          <w:lang w:val="en-US" w:eastAsia="zh-CN"/>
        </w:rPr>
        <w:t>。</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default"/>
          <w:color w:val="0000FF"/>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baseline"/>
        <w:rPr>
          <w:rFonts w:hint="eastAsia"/>
          <w:color w:val="auto"/>
          <w:lang w:val="en-US" w:eastAsia="zh-CN"/>
        </w:rPr>
      </w:pPr>
      <w:r>
        <w:rPr>
          <w:rFonts w:hint="eastAsia"/>
          <w:color w:val="auto"/>
          <w:lang w:val="en-US" w:eastAsia="zh-CN"/>
        </w:rPr>
        <w:t>附件：</w:t>
      </w:r>
      <w:r>
        <w:rPr>
          <w:rFonts w:hint="eastAsia"/>
          <w:color w:val="auto"/>
          <w:lang w:val="en-US" w:eastAsia="zh-CN"/>
        </w:rPr>
        <w:t>山亭区行政审批服务局贯彻落实全区“工业强区、 产业兴区”三年攻坚突破行动高质量打造“亭好办”政务服务品牌领导小组</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right"/>
        <w:textAlignment w:val="baseline"/>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right"/>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山亭区行政审批服务局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baseline"/>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2021年3月31日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baseline"/>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baseline"/>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baseline"/>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baseline"/>
        <w:rPr>
          <w:rFonts w:hint="eastAsia" w:ascii="黑体" w:hAnsi="黑体" w:eastAsia="黑体" w:cs="黑体"/>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baseline"/>
        <w:rPr>
          <w:rFonts w:hint="eastAsia" w:ascii="黑体" w:hAnsi="黑体" w:eastAsia="黑体" w:cs="黑体"/>
          <w:lang w:eastAsia="zh-CN"/>
        </w:rPr>
      </w:pPr>
      <w:r>
        <w:rPr>
          <w:rFonts w:hint="eastAsia" w:ascii="黑体" w:hAnsi="黑体" w:eastAsia="黑体" w:cs="黑体"/>
          <w:lang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baseline"/>
        <w:rPr>
          <w:rFonts w:hint="eastAsia" w:ascii="方正小标宋简体" w:hAnsi="宋体" w:eastAsia="方正小标宋简体" w:cs="Times New Roman"/>
          <w:kern w:val="0"/>
          <w:sz w:val="44"/>
          <w:szCs w:val="44"/>
          <w:lang w:val="en-US" w:eastAsia="zh-CN" w:bidi="ar-SA"/>
        </w:rPr>
      </w:pPr>
      <w:r>
        <w:rPr>
          <w:rFonts w:hint="eastAsia" w:ascii="方正小标宋简体" w:hAnsi="Times New Roman" w:eastAsia="方正小标宋简体" w:cs="Times New Roman"/>
          <w:sz w:val="44"/>
          <w:szCs w:val="44"/>
          <w:lang w:val="en-US" w:eastAsia="zh-CN"/>
        </w:rPr>
        <w:t>山亭区行政审批服务局</w:t>
      </w:r>
      <w:bookmarkStart w:id="0" w:name="OLE_LINK1"/>
      <w:r>
        <w:rPr>
          <w:rFonts w:hint="eastAsia" w:ascii="方正小标宋简体" w:hAnsi="宋体" w:eastAsia="方正小标宋简体" w:cs="Times New Roman"/>
          <w:kern w:val="0"/>
          <w:sz w:val="44"/>
          <w:szCs w:val="44"/>
          <w:lang w:val="en-US" w:eastAsia="zh-CN" w:bidi="ar-SA"/>
        </w:rPr>
        <w:t>贯彻落实全区“工业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baseline"/>
        <w:rPr>
          <w:rFonts w:hint="eastAsia"/>
          <w:color w:val="auto"/>
          <w:lang w:val="en-US" w:eastAsia="zh-CN"/>
        </w:rPr>
      </w:pPr>
      <w:r>
        <w:rPr>
          <w:rFonts w:hint="eastAsia" w:ascii="方正小标宋简体" w:hAnsi="宋体" w:eastAsia="方正小标宋简体" w:cs="Times New Roman"/>
          <w:kern w:val="0"/>
          <w:sz w:val="44"/>
          <w:szCs w:val="44"/>
          <w:lang w:val="en-US" w:eastAsia="zh-CN" w:bidi="ar-SA"/>
        </w:rPr>
        <w:t>强区、产业兴区”三年</w:t>
      </w:r>
      <w:r>
        <w:rPr>
          <w:rFonts w:hint="eastAsia" w:ascii="方正小标宋简体" w:hAnsi="宋体" w:eastAsia="方正小标宋简体" w:cs="Times New Roman"/>
          <w:spacing w:val="-6"/>
          <w:kern w:val="0"/>
          <w:sz w:val="44"/>
          <w:szCs w:val="44"/>
          <w:lang w:val="en-US" w:eastAsia="zh-CN" w:bidi="ar-SA"/>
        </w:rPr>
        <w:t>攻坚突破行动高质量打造“亭好办”政务服务</w:t>
      </w:r>
      <w:r>
        <w:rPr>
          <w:rFonts w:hint="eastAsia" w:ascii="方正小标宋简体" w:hAnsi="宋体" w:eastAsia="方正小标宋简体" w:cs="Times New Roman"/>
          <w:kern w:val="0"/>
          <w:sz w:val="44"/>
          <w:szCs w:val="44"/>
          <w:lang w:val="en-US" w:eastAsia="zh-CN" w:bidi="ar-SA"/>
        </w:rPr>
        <w:t>品牌领导小组</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baseline"/>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为进一步加强</w:t>
      </w:r>
      <w:r>
        <w:rPr>
          <w:rFonts w:hint="eastAsia" w:ascii="仿宋_GB2312" w:hAnsi="Times New Roman" w:eastAsia="仿宋_GB2312" w:cs="Times New Roman"/>
          <w:sz w:val="32"/>
          <w:szCs w:val="32"/>
          <w:lang w:eastAsia="zh-CN"/>
        </w:rPr>
        <w:t>对</w:t>
      </w:r>
      <w:r>
        <w:rPr>
          <w:rFonts w:hint="eastAsia" w:ascii="仿宋_GB2312" w:hAnsi="Times New Roman" w:eastAsia="仿宋_GB2312" w:cs="Times New Roman"/>
          <w:sz w:val="32"/>
          <w:szCs w:val="32"/>
          <w:lang w:val="en-US" w:eastAsia="zh-CN"/>
        </w:rPr>
        <w:t>贯彻落实全区“工业强区、产业兴区”三年攻坚突破行动高质量打造“亭好办”政务服务品牌</w:t>
      </w:r>
      <w:r>
        <w:rPr>
          <w:rFonts w:hint="eastAsia" w:ascii="仿宋_GB2312" w:hAnsi="Times New Roman" w:eastAsia="仿宋_GB2312" w:cs="Times New Roman"/>
          <w:sz w:val="32"/>
          <w:szCs w:val="32"/>
        </w:rPr>
        <w:t>工作的组织领导和统筹协调力度，努力营造</w:t>
      </w:r>
      <w:r>
        <w:rPr>
          <w:rFonts w:hint="eastAsia" w:ascii="仿宋_GB2312" w:hAnsi="Times New Roman" w:eastAsia="仿宋_GB2312" w:cs="Times New Roman"/>
          <w:sz w:val="32"/>
          <w:szCs w:val="32"/>
          <w:lang w:eastAsia="zh-CN"/>
        </w:rPr>
        <w:t>国内领先、全省一流的</w:t>
      </w:r>
      <w:r>
        <w:rPr>
          <w:rFonts w:hint="eastAsia" w:ascii="仿宋_GB2312" w:hAnsi="Times New Roman" w:eastAsia="仿宋_GB2312" w:cs="Times New Roman"/>
          <w:sz w:val="32"/>
          <w:szCs w:val="32"/>
        </w:rPr>
        <w:t>营商环境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经研究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决定成立</w:t>
      </w:r>
      <w:r>
        <w:rPr>
          <w:rFonts w:hint="eastAsia" w:ascii="仿宋_GB2312" w:hAnsi="Times New Roman" w:eastAsia="仿宋_GB2312" w:cs="Times New Roman"/>
          <w:sz w:val="32"/>
          <w:szCs w:val="32"/>
          <w:lang w:val="en-US" w:eastAsia="zh-CN"/>
        </w:rPr>
        <w:t>山亭区</w:t>
      </w:r>
      <w:r>
        <w:rPr>
          <w:rFonts w:hint="eastAsia" w:ascii="仿宋_GB2312" w:hAnsi="Times New Roman" w:eastAsia="仿宋_GB2312" w:cs="Times New Roman"/>
          <w:sz w:val="32"/>
          <w:szCs w:val="32"/>
        </w:rPr>
        <w:t>行政审批服务局贯彻落实全</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“工业强</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、产业兴</w:t>
      </w:r>
      <w:r>
        <w:rPr>
          <w:rFonts w:hint="eastAsia" w:ascii="仿宋_GB2312" w:hAnsi="Times New Roman" w:eastAsia="仿宋_GB2312" w:cs="Times New Roman"/>
          <w:sz w:val="32"/>
          <w:szCs w:val="32"/>
          <w:lang w:eastAsia="zh-CN"/>
        </w:rPr>
        <w:t>区</w:t>
      </w:r>
      <w:r>
        <w:rPr>
          <w:rFonts w:hint="eastAsia" w:ascii="仿宋_GB2312" w:hAnsi="Times New Roman" w:eastAsia="仿宋_GB2312" w:cs="Times New Roman"/>
          <w:sz w:val="32"/>
          <w:szCs w:val="32"/>
        </w:rPr>
        <w:t>”三年攻坚突破行动高质量打造“</w:t>
      </w:r>
      <w:r>
        <w:rPr>
          <w:rFonts w:hint="eastAsia" w:ascii="仿宋_GB2312" w:hAnsi="Times New Roman" w:eastAsia="仿宋_GB2312" w:cs="Times New Roman"/>
          <w:sz w:val="32"/>
          <w:szCs w:val="32"/>
          <w:lang w:val="en-US" w:eastAsia="zh-CN"/>
        </w:rPr>
        <w:t>亭好办</w:t>
      </w:r>
      <w:r>
        <w:rPr>
          <w:rFonts w:hint="eastAsia" w:ascii="仿宋_GB2312" w:hAnsi="Times New Roman" w:eastAsia="仿宋_GB2312" w:cs="Times New Roman"/>
          <w:sz w:val="32"/>
          <w:szCs w:val="32"/>
        </w:rPr>
        <w:t>”政务服务品牌领导小组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现将领导小组成员名单公布如下：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baseline"/>
        <w:rPr>
          <w:rFonts w:ascii="仿宋_GB2312" w:hAnsi="方正小标宋简体" w:eastAsia="仿宋_GB2312" w:cs="方正小标宋简体"/>
          <w:color w:val="000000"/>
          <w:sz w:val="32"/>
          <w:szCs w:val="32"/>
        </w:rPr>
      </w:pPr>
      <w:r>
        <w:rPr>
          <w:rFonts w:hint="eastAsia" w:ascii="黑体" w:hAnsi="黑体" w:eastAsia="黑体" w:cs="方正小标宋简体"/>
          <w:color w:val="000000"/>
          <w:sz w:val="32"/>
          <w:szCs w:val="32"/>
        </w:rPr>
        <w:t>组</w:t>
      </w:r>
      <w:r>
        <w:rPr>
          <w:rFonts w:hint="eastAsia" w:ascii="黑体" w:hAnsi="黑体" w:eastAsia="黑体" w:cs="方正小标宋简体"/>
          <w:color w:val="000000"/>
          <w:sz w:val="32"/>
          <w:szCs w:val="32"/>
          <w:lang w:val="en-US" w:eastAsia="zh-CN"/>
        </w:rPr>
        <w:t xml:space="preserve">  </w:t>
      </w:r>
      <w:r>
        <w:rPr>
          <w:rFonts w:hint="eastAsia" w:ascii="黑体" w:hAnsi="黑体" w:eastAsia="黑体" w:cs="方正小标宋简体"/>
          <w:color w:val="000000"/>
          <w:sz w:val="32"/>
          <w:szCs w:val="32"/>
        </w:rPr>
        <w:t>长：</w:t>
      </w:r>
      <w:r>
        <w:rPr>
          <w:rFonts w:hint="eastAsia" w:ascii="仿宋_GB2312" w:hAnsi="黑体" w:eastAsia="仿宋_GB2312" w:cs="方正小标宋简体"/>
          <w:color w:val="000000"/>
          <w:sz w:val="32"/>
          <w:szCs w:val="32"/>
          <w:lang w:val="en-US" w:eastAsia="zh-CN"/>
        </w:rPr>
        <w:t>王海龙</w:t>
      </w:r>
      <w:r>
        <w:rPr>
          <w:rFonts w:hint="eastAsia" w:ascii="仿宋_GB2312" w:hAnsi="方正小标宋简体" w:eastAsia="仿宋_GB2312" w:cs="方正小标宋简体"/>
          <w:color w:val="000000"/>
          <w:sz w:val="32"/>
          <w:szCs w:val="32"/>
        </w:rPr>
        <w:t xml:space="preserve">  </w:t>
      </w:r>
      <w:r>
        <w:rPr>
          <w:rFonts w:hint="eastAsia" w:ascii="仿宋_GB2312" w:hAnsi="方正小标宋简体" w:eastAsia="仿宋_GB2312" w:cs="方正小标宋简体"/>
          <w:color w:val="000000"/>
          <w:sz w:val="32"/>
          <w:szCs w:val="32"/>
          <w:lang w:eastAsia="zh-CN"/>
        </w:rPr>
        <w:t>党组书记、局长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baseline"/>
        <w:rPr>
          <w:rFonts w:hint="eastAsia" w:ascii="仿宋_GB2312" w:hAnsi="方正小标宋简体" w:eastAsia="仿宋_GB2312" w:cs="方正小标宋简体"/>
          <w:color w:val="000000"/>
          <w:sz w:val="32"/>
          <w:szCs w:val="32"/>
          <w:lang w:val="en-US" w:eastAsia="zh-CN"/>
        </w:rPr>
      </w:pPr>
      <w:r>
        <w:rPr>
          <w:rFonts w:hint="eastAsia" w:ascii="黑体" w:hAnsi="黑体" w:eastAsia="黑体" w:cs="方正小标宋简体"/>
          <w:color w:val="000000"/>
          <w:sz w:val="32"/>
          <w:szCs w:val="32"/>
        </w:rPr>
        <w:t>副组长：</w:t>
      </w:r>
      <w:r>
        <w:rPr>
          <w:rFonts w:hint="eastAsia" w:ascii="仿宋_GB2312" w:hAnsi="方正小标宋简体" w:eastAsia="仿宋_GB2312" w:cs="方正小标宋简体"/>
          <w:color w:val="000000"/>
          <w:sz w:val="32"/>
          <w:szCs w:val="32"/>
          <w:lang w:val="en-US" w:eastAsia="zh-CN"/>
        </w:rPr>
        <w:t>孙兴伟</w:t>
      </w:r>
      <w:r>
        <w:rPr>
          <w:rFonts w:hint="eastAsia" w:ascii="仿宋_GB2312" w:hAnsi="方正小标宋简体" w:eastAsia="仿宋_GB2312" w:cs="方正小标宋简体"/>
          <w:color w:val="000000"/>
          <w:sz w:val="32"/>
          <w:szCs w:val="32"/>
        </w:rPr>
        <w:t xml:space="preserve">  </w:t>
      </w:r>
      <w:r>
        <w:rPr>
          <w:rFonts w:hint="eastAsia" w:ascii="仿宋_GB2312" w:hAnsi="方正小标宋简体" w:eastAsia="仿宋_GB2312" w:cs="方正小标宋简体"/>
          <w:color w:val="000000"/>
          <w:sz w:val="32"/>
          <w:szCs w:val="32"/>
          <w:lang w:eastAsia="zh-CN"/>
        </w:rPr>
        <w:t>党组成员、</w:t>
      </w:r>
      <w:r>
        <w:rPr>
          <w:rFonts w:hint="eastAsia" w:ascii="仿宋_GB2312" w:hAnsi="方正小标宋简体" w:eastAsia="仿宋_GB2312" w:cs="方正小标宋简体"/>
          <w:color w:val="000000"/>
          <w:sz w:val="32"/>
          <w:szCs w:val="32"/>
          <w:lang w:val="en-US" w:eastAsia="zh-CN"/>
        </w:rPr>
        <w:t>二级主任科员</w:t>
      </w:r>
    </w:p>
    <w:p>
      <w:pPr>
        <w:pStyle w:val="2"/>
        <w:keepNext w:val="0"/>
        <w:keepLines w:val="0"/>
        <w:pageBreakBefore w:val="0"/>
        <w:widowControl w:val="0"/>
        <w:kinsoku/>
        <w:wordWrap/>
        <w:overflowPunct/>
        <w:topLinePunct w:val="0"/>
        <w:autoSpaceDE/>
        <w:autoSpaceDN/>
        <w:bidi w:val="0"/>
        <w:snapToGrid/>
        <w:spacing w:line="560" w:lineRule="exact"/>
        <w:ind w:left="0" w:leftChars="0"/>
        <w:rPr>
          <w:rFonts w:hint="default"/>
          <w:lang w:val="en-US" w:eastAsia="zh-CN"/>
        </w:rPr>
      </w:pPr>
      <w:r>
        <w:rPr>
          <w:rFonts w:hint="eastAsia" w:ascii="仿宋_GB2312" w:hAnsi="方正小标宋简体" w:cs="方正小标宋简体"/>
          <w:color w:val="000000"/>
          <w:sz w:val="32"/>
          <w:szCs w:val="32"/>
          <w:lang w:val="en-US" w:eastAsia="zh-CN"/>
        </w:rPr>
        <w:t xml:space="preserve">        李  娟  </w:t>
      </w:r>
      <w:r>
        <w:rPr>
          <w:rFonts w:hint="eastAsia" w:ascii="仿宋_GB2312" w:hAnsi="方正小标宋简体" w:eastAsia="仿宋_GB2312" w:cs="方正小标宋简体"/>
          <w:color w:val="000000"/>
          <w:sz w:val="32"/>
          <w:szCs w:val="32"/>
          <w:lang w:eastAsia="zh-CN"/>
        </w:rPr>
        <w:t>党组成员、</w:t>
      </w:r>
      <w:r>
        <w:rPr>
          <w:rFonts w:hint="eastAsia" w:ascii="仿宋_GB2312" w:hAnsi="方正小标宋简体" w:eastAsia="仿宋_GB2312" w:cs="方正小标宋简体"/>
          <w:color w:val="000000"/>
          <w:sz w:val="32"/>
          <w:szCs w:val="32"/>
          <w:lang w:val="en-US" w:eastAsia="zh-CN"/>
        </w:rPr>
        <w:t>二级主任科员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lang w:val="en-US" w:eastAsia="zh-CN"/>
        </w:rPr>
      </w:pPr>
      <w:r>
        <w:rPr>
          <w:rFonts w:hint="eastAsia" w:ascii="仿宋_GB2312" w:hAnsi="方正小标宋简体" w:cs="方正小标宋简体"/>
          <w:color w:val="000000"/>
          <w:sz w:val="32"/>
          <w:szCs w:val="32"/>
          <w:lang w:val="en-US" w:eastAsia="zh-CN"/>
        </w:rPr>
        <w:t xml:space="preserve">        陈文东</w:t>
      </w:r>
      <w:r>
        <w:rPr>
          <w:rFonts w:hint="eastAsia" w:ascii="仿宋_GB2312" w:hAnsi="方正小标宋简体" w:eastAsia="仿宋_GB2312" w:cs="方正小标宋简体"/>
          <w:color w:val="000000"/>
          <w:sz w:val="32"/>
          <w:szCs w:val="32"/>
        </w:rPr>
        <w:t xml:space="preserve">  </w:t>
      </w:r>
      <w:r>
        <w:rPr>
          <w:rFonts w:hint="eastAsia" w:ascii="仿宋_GB2312" w:hAnsi="方正小标宋简体" w:eastAsia="仿宋_GB2312" w:cs="方正小标宋简体"/>
          <w:color w:val="000000"/>
          <w:sz w:val="32"/>
          <w:szCs w:val="32"/>
          <w:lang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baseline"/>
        <w:rPr>
          <w:rFonts w:hint="eastAsia" w:ascii="仿宋_GB2312" w:hAnsi="方正小标宋简体" w:eastAsia="仿宋_GB2312" w:cs="方正小标宋简体"/>
          <w:color w:val="000000"/>
          <w:sz w:val="32"/>
          <w:szCs w:val="32"/>
          <w:lang w:eastAsia="zh-CN"/>
        </w:rPr>
      </w:pPr>
      <w:r>
        <w:rPr>
          <w:rFonts w:hint="eastAsia" w:ascii="仿宋_GB2312" w:hAnsi="方正小标宋简体" w:eastAsia="仿宋_GB2312" w:cs="方正小标宋简体"/>
          <w:color w:val="000000"/>
          <w:sz w:val="32"/>
          <w:szCs w:val="32"/>
          <w:lang w:val="en-US" w:eastAsia="zh-CN"/>
        </w:rPr>
        <w:t xml:space="preserve">        马  萍</w:t>
      </w:r>
      <w:r>
        <w:rPr>
          <w:rFonts w:hint="eastAsia" w:ascii="仿宋_GB2312" w:hAnsi="方正小标宋简体" w:eastAsia="仿宋_GB2312" w:cs="方正小标宋简体"/>
          <w:color w:val="000000"/>
          <w:sz w:val="32"/>
          <w:szCs w:val="32"/>
        </w:rPr>
        <w:t xml:space="preserve">  </w:t>
      </w:r>
      <w:r>
        <w:rPr>
          <w:rFonts w:hint="eastAsia" w:ascii="仿宋_GB2312" w:hAnsi="方正小标宋简体" w:eastAsia="仿宋_GB2312" w:cs="方正小标宋简体"/>
          <w:color w:val="000000"/>
          <w:sz w:val="32"/>
          <w:szCs w:val="32"/>
          <w:lang w:eastAsia="zh-CN"/>
        </w:rPr>
        <w:t>党组成员、副局长</w:t>
      </w:r>
    </w:p>
    <w:p>
      <w:pPr>
        <w:pStyle w:val="2"/>
        <w:keepNext w:val="0"/>
        <w:keepLines w:val="0"/>
        <w:pageBreakBefore w:val="0"/>
        <w:widowControl w:val="0"/>
        <w:kinsoku/>
        <w:wordWrap/>
        <w:overflowPunct/>
        <w:topLinePunct w:val="0"/>
        <w:autoSpaceDE/>
        <w:autoSpaceDN/>
        <w:bidi w:val="0"/>
        <w:snapToGrid/>
        <w:spacing w:line="560" w:lineRule="exact"/>
        <w:ind w:left="0" w:leftChars="0"/>
        <w:rPr>
          <w:rFonts w:hint="eastAsia" w:ascii="仿宋_GB2312" w:hAnsi="方正小标宋简体" w:eastAsia="仿宋_GB2312" w:cs="方正小标宋简体"/>
          <w:color w:val="000000"/>
          <w:sz w:val="32"/>
          <w:szCs w:val="32"/>
          <w:lang w:eastAsia="zh-CN"/>
        </w:rPr>
      </w:pPr>
      <w:r>
        <w:rPr>
          <w:rFonts w:hint="eastAsia" w:ascii="仿宋_GB2312" w:hAnsi="方正小标宋简体" w:cs="方正小标宋简体"/>
          <w:color w:val="000000"/>
          <w:sz w:val="32"/>
          <w:szCs w:val="32"/>
          <w:lang w:val="en-US" w:eastAsia="zh-CN"/>
        </w:rPr>
        <w:t xml:space="preserve">        张  莉  </w:t>
      </w:r>
      <w:r>
        <w:rPr>
          <w:rFonts w:hint="eastAsia" w:ascii="仿宋_GB2312" w:hAnsi="方正小标宋简体" w:eastAsia="仿宋_GB2312" w:cs="方正小标宋简体"/>
          <w:color w:val="000000"/>
          <w:sz w:val="32"/>
          <w:szCs w:val="32"/>
          <w:lang w:eastAsia="zh-CN"/>
        </w:rPr>
        <w:t>党组成员</w:t>
      </w:r>
    </w:p>
    <w:p>
      <w:pPr>
        <w:pStyle w:val="2"/>
        <w:keepNext w:val="0"/>
        <w:keepLines w:val="0"/>
        <w:pageBreakBefore w:val="0"/>
        <w:widowControl w:val="0"/>
        <w:kinsoku/>
        <w:wordWrap/>
        <w:overflowPunct/>
        <w:topLinePunct w:val="0"/>
        <w:autoSpaceDE/>
        <w:autoSpaceDN/>
        <w:bidi w:val="0"/>
        <w:snapToGrid/>
        <w:spacing w:line="560" w:lineRule="exact"/>
        <w:ind w:left="0" w:leftChars="0"/>
        <w:rPr>
          <w:rFonts w:hint="eastAsia" w:ascii="仿宋_GB2312" w:hAnsi="方正小标宋简体" w:cs="方正小标宋简体"/>
          <w:color w:val="000000"/>
          <w:sz w:val="32"/>
          <w:szCs w:val="32"/>
          <w:lang w:val="en-US" w:eastAsia="zh-CN"/>
        </w:rPr>
      </w:pPr>
      <w:r>
        <w:rPr>
          <w:rFonts w:hint="eastAsia" w:ascii="仿宋_GB2312" w:hAnsi="方正小标宋简体" w:cs="方正小标宋简体"/>
          <w:color w:val="000000"/>
          <w:sz w:val="32"/>
          <w:szCs w:val="32"/>
          <w:lang w:val="en-US" w:eastAsia="zh-CN"/>
        </w:rPr>
        <w:t xml:space="preserve">        蔡  伟  四级主任科员</w:t>
      </w:r>
    </w:p>
    <w:p>
      <w:pPr>
        <w:pStyle w:val="2"/>
        <w:keepNext w:val="0"/>
        <w:keepLines w:val="0"/>
        <w:pageBreakBefore w:val="0"/>
        <w:widowControl w:val="0"/>
        <w:kinsoku/>
        <w:wordWrap/>
        <w:overflowPunct/>
        <w:topLinePunct w:val="0"/>
        <w:autoSpaceDE/>
        <w:autoSpaceDN/>
        <w:bidi w:val="0"/>
        <w:snapToGrid/>
        <w:spacing w:line="560" w:lineRule="exact"/>
        <w:ind w:left="0" w:leftChars="0"/>
        <w:rPr>
          <w:rFonts w:hint="eastAsia" w:ascii="仿宋_GB2312" w:hAnsi="方正小标宋简体" w:cs="方正小标宋简体"/>
          <w:color w:val="000000"/>
          <w:sz w:val="32"/>
          <w:szCs w:val="32"/>
          <w:lang w:val="en-US" w:eastAsia="zh-CN"/>
        </w:rPr>
      </w:pPr>
      <w:r>
        <w:rPr>
          <w:rFonts w:hint="eastAsia" w:ascii="仿宋_GB2312" w:hAnsi="方正小标宋简体" w:cs="方正小标宋简体"/>
          <w:color w:val="000000"/>
          <w:sz w:val="32"/>
          <w:szCs w:val="32"/>
          <w:lang w:val="en-US" w:eastAsia="zh-CN"/>
        </w:rPr>
        <w:t xml:space="preserve">        秦保磊  公共资源交易中心主任</w:t>
      </w:r>
    </w:p>
    <w:p>
      <w:pPr>
        <w:pStyle w:val="2"/>
        <w:keepNext w:val="0"/>
        <w:keepLines w:val="0"/>
        <w:pageBreakBefore w:val="0"/>
        <w:widowControl w:val="0"/>
        <w:kinsoku/>
        <w:wordWrap/>
        <w:overflowPunct/>
        <w:topLinePunct w:val="0"/>
        <w:autoSpaceDE/>
        <w:autoSpaceDN/>
        <w:bidi w:val="0"/>
        <w:snapToGrid/>
        <w:spacing w:line="560" w:lineRule="exact"/>
        <w:ind w:left="0" w:leftChars="0"/>
        <w:rPr>
          <w:rFonts w:hint="default" w:ascii="仿宋_GB2312" w:hAnsi="方正小标宋简体" w:cs="方正小标宋简体"/>
          <w:color w:val="000000"/>
          <w:sz w:val="32"/>
          <w:szCs w:val="32"/>
          <w:lang w:val="en-US" w:eastAsia="zh-CN"/>
        </w:rPr>
      </w:pPr>
      <w:r>
        <w:rPr>
          <w:rFonts w:hint="eastAsia" w:ascii="仿宋_GB2312" w:hAnsi="方正小标宋简体" w:cs="方正小标宋简体"/>
          <w:color w:val="000000"/>
          <w:sz w:val="32"/>
          <w:szCs w:val="32"/>
          <w:lang w:val="en-US" w:eastAsia="zh-CN"/>
        </w:rPr>
        <w:t xml:space="preserve">        闫  旭  四级主任科员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黑体" w:hAnsi="黑体" w:eastAsia="黑体" w:cs="方正小标宋简体"/>
          <w:color w:val="000000"/>
          <w:sz w:val="32"/>
          <w:szCs w:val="32"/>
        </w:rPr>
        <w:t>成</w:t>
      </w:r>
      <w:r>
        <w:rPr>
          <w:rFonts w:hint="eastAsia" w:ascii="黑体" w:hAnsi="黑体" w:eastAsia="黑体" w:cs="方正小标宋简体"/>
          <w:color w:val="000000"/>
          <w:sz w:val="32"/>
          <w:szCs w:val="32"/>
          <w:lang w:val="en-US" w:eastAsia="zh-CN"/>
        </w:rPr>
        <w:t xml:space="preserve">  </w:t>
      </w:r>
      <w:r>
        <w:rPr>
          <w:rFonts w:hint="eastAsia" w:ascii="黑体" w:hAnsi="黑体" w:eastAsia="黑体" w:cs="方正小标宋简体"/>
          <w:color w:val="000000"/>
          <w:sz w:val="32"/>
          <w:szCs w:val="32"/>
        </w:rPr>
        <w:t>员：</w:t>
      </w:r>
      <w:r>
        <w:rPr>
          <w:rFonts w:hint="eastAsia" w:ascii="仿宋_GB2312" w:hAnsi="方正小标宋简体" w:eastAsia="仿宋_GB2312" w:cs="方正小标宋简体"/>
          <w:color w:val="000000"/>
          <w:kern w:val="2"/>
          <w:sz w:val="32"/>
          <w:szCs w:val="32"/>
          <w:lang w:val="en-US" w:eastAsia="zh-CN" w:bidi="ar-SA"/>
        </w:rPr>
        <w:t xml:space="preserve">董  敏  办公室主任 </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lang w:val="en-US" w:eastAsia="zh-CN"/>
        </w:rPr>
        <w:t>赵传生  党建室主任</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朱宜东  政策法规室主任</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邵亚春  档案室主任</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 xml:space="preserve">刘晓燕  投资建设组组长 </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 xml:space="preserve">韩业坤  市场准入组组长  </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王  强  社会事务组组长</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 xml:space="preserve">李庆德  农业事务组组长    </w:t>
      </w:r>
    </w:p>
    <w:p>
      <w:pPr>
        <w:keepNext w:val="0"/>
        <w:keepLines w:val="0"/>
        <w:pageBreakBefore w:val="0"/>
        <w:widowControl w:val="0"/>
        <w:kinsoku/>
        <w:wordWrap/>
        <w:overflowPunct/>
        <w:topLinePunct w:val="0"/>
        <w:autoSpaceDE/>
        <w:autoSpaceDN/>
        <w:bidi w:val="0"/>
        <w:adjustRightInd/>
        <w:snapToGrid/>
        <w:spacing w:line="560" w:lineRule="exact"/>
        <w:ind w:right="0" w:firstLine="1920" w:firstLineChars="600"/>
        <w:jc w:val="both"/>
        <w:textAlignment w:val="baseline"/>
        <w:rPr>
          <w:rFonts w:hint="eastAsia" w:ascii="仿宋_GB2312" w:hAnsi="方正小标宋简体" w:eastAsia="仿宋_GB2312" w:cs="方正小标宋简体"/>
          <w:color w:val="000000"/>
          <w:kern w:val="2"/>
          <w:sz w:val="32"/>
          <w:szCs w:val="32"/>
          <w:lang w:val="en-US" w:eastAsia="zh-CN" w:bidi="ar-SA"/>
        </w:rPr>
      </w:pPr>
      <w:r>
        <w:rPr>
          <w:rFonts w:hint="eastAsia" w:ascii="仿宋_GB2312" w:hAnsi="方正小标宋简体" w:eastAsia="仿宋_GB2312" w:cs="方正小标宋简体"/>
          <w:color w:val="000000"/>
          <w:kern w:val="2"/>
          <w:sz w:val="32"/>
          <w:szCs w:val="32"/>
          <w:lang w:val="en-US" w:eastAsia="zh-CN" w:bidi="ar-SA"/>
        </w:rPr>
        <w:t xml:space="preserve">孙宏伟  政务服务中心主任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default"/>
          <w:lang w:val="en-US" w:eastAsia="zh-CN"/>
        </w:rPr>
      </w:pPr>
      <w:r>
        <w:rPr>
          <w:rFonts w:hint="eastAsia"/>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baseline"/>
        <w:rPr>
          <w:rFonts w:hint="eastAsia" w:ascii="仿宋" w:hAnsi="仿宋" w:eastAsia="仿宋" w:cs="仿宋"/>
          <w:sz w:val="32"/>
          <w:szCs w:val="32"/>
          <w:lang w:val="en-US" w:eastAsia="zh-CN"/>
        </w:rPr>
      </w:pPr>
      <w:r>
        <w:rPr>
          <w:rFonts w:hint="eastAsia" w:ascii="仿宋_GB2312" w:hAnsi="方正小标宋简体" w:eastAsia="仿宋_GB2312" w:cs="方正小标宋简体"/>
          <w:color w:val="000000"/>
          <w:sz w:val="32"/>
          <w:szCs w:val="32"/>
        </w:rPr>
        <w:t>领导小组下设办公室，承担领导小组日常工作，负责任务分解、综合协调、调度督导、年度考核等工作</w:t>
      </w:r>
      <w:r>
        <w:rPr>
          <w:rFonts w:hint="eastAsia" w:ascii="仿宋_GB2312" w:hAnsi="方正小标宋简体" w:cs="方正小标宋简体"/>
          <w:color w:val="000000"/>
          <w:sz w:val="32"/>
          <w:szCs w:val="32"/>
          <w:lang w:eastAsia="zh-CN"/>
        </w:rPr>
        <w:t>，</w:t>
      </w:r>
      <w:r>
        <w:rPr>
          <w:rFonts w:hint="eastAsia" w:ascii="仿宋_GB2312" w:hAnsi="方正小标宋简体" w:cs="方正小标宋简体"/>
          <w:color w:val="000000"/>
          <w:sz w:val="32"/>
          <w:szCs w:val="32"/>
          <w:lang w:val="en-US" w:eastAsia="zh-CN"/>
        </w:rPr>
        <w:t>董敏</w:t>
      </w:r>
      <w:r>
        <w:rPr>
          <w:rFonts w:hint="eastAsia" w:ascii="仿宋_GB2312" w:hAnsi="方正小标宋简体" w:eastAsia="仿宋_GB2312" w:cs="方正小标宋简体"/>
          <w:color w:val="000000"/>
          <w:sz w:val="32"/>
          <w:szCs w:val="32"/>
          <w:lang w:eastAsia="zh-CN"/>
        </w:rPr>
        <w:t>同志</w:t>
      </w:r>
      <w:r>
        <w:rPr>
          <w:rFonts w:hint="eastAsia" w:ascii="仿宋_GB2312" w:hAnsi="方正小标宋简体" w:eastAsia="仿宋_GB2312" w:cs="方正小标宋简体"/>
          <w:color w:val="000000"/>
          <w:sz w:val="32"/>
          <w:szCs w:val="32"/>
        </w:rPr>
        <w:t>兼任办公室主任。</w:t>
      </w:r>
    </w:p>
    <w:sectPr>
      <w:footerReference r:id="rId3"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仿宋_GB2312"/>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6C79"/>
    <w:rsid w:val="00392AE4"/>
    <w:rsid w:val="00486C79"/>
    <w:rsid w:val="004921D8"/>
    <w:rsid w:val="004F2569"/>
    <w:rsid w:val="005609B5"/>
    <w:rsid w:val="00572CFA"/>
    <w:rsid w:val="005F62D5"/>
    <w:rsid w:val="00883DE4"/>
    <w:rsid w:val="0089324A"/>
    <w:rsid w:val="009C458E"/>
    <w:rsid w:val="009D1D68"/>
    <w:rsid w:val="00A928D0"/>
    <w:rsid w:val="00B528A9"/>
    <w:rsid w:val="00CC5F36"/>
    <w:rsid w:val="00D21C8A"/>
    <w:rsid w:val="00DE5042"/>
    <w:rsid w:val="00F8431B"/>
    <w:rsid w:val="031923F0"/>
    <w:rsid w:val="09304E11"/>
    <w:rsid w:val="0ABF287F"/>
    <w:rsid w:val="0AC10ADE"/>
    <w:rsid w:val="0C524E87"/>
    <w:rsid w:val="0DF50C4A"/>
    <w:rsid w:val="0DF86F49"/>
    <w:rsid w:val="0F143BB5"/>
    <w:rsid w:val="12D14297"/>
    <w:rsid w:val="1403275D"/>
    <w:rsid w:val="15E36F82"/>
    <w:rsid w:val="162D6357"/>
    <w:rsid w:val="16A376AB"/>
    <w:rsid w:val="1840781F"/>
    <w:rsid w:val="19700C78"/>
    <w:rsid w:val="1AEB6B9E"/>
    <w:rsid w:val="1CE36C4E"/>
    <w:rsid w:val="2139677D"/>
    <w:rsid w:val="22174CFF"/>
    <w:rsid w:val="24296AE5"/>
    <w:rsid w:val="259475F3"/>
    <w:rsid w:val="2BE255B8"/>
    <w:rsid w:val="2BFC306C"/>
    <w:rsid w:val="2C4570AD"/>
    <w:rsid w:val="2CB90992"/>
    <w:rsid w:val="2F565899"/>
    <w:rsid w:val="307133A0"/>
    <w:rsid w:val="31585594"/>
    <w:rsid w:val="32BB0BB1"/>
    <w:rsid w:val="34D549C3"/>
    <w:rsid w:val="34FB7FA3"/>
    <w:rsid w:val="357551F0"/>
    <w:rsid w:val="395B1633"/>
    <w:rsid w:val="396F713F"/>
    <w:rsid w:val="47F50586"/>
    <w:rsid w:val="48AF0F7C"/>
    <w:rsid w:val="52E33B25"/>
    <w:rsid w:val="542470A6"/>
    <w:rsid w:val="557A7655"/>
    <w:rsid w:val="59206164"/>
    <w:rsid w:val="59884476"/>
    <w:rsid w:val="59D04ACE"/>
    <w:rsid w:val="5A393660"/>
    <w:rsid w:val="5C0F4443"/>
    <w:rsid w:val="5C8E0E99"/>
    <w:rsid w:val="5CAF2F16"/>
    <w:rsid w:val="5F0271E4"/>
    <w:rsid w:val="679D777E"/>
    <w:rsid w:val="6BD960BF"/>
    <w:rsid w:val="6D7015F5"/>
    <w:rsid w:val="6D86477D"/>
    <w:rsid w:val="73200F77"/>
    <w:rsid w:val="73707268"/>
    <w:rsid w:val="75584B98"/>
    <w:rsid w:val="7A455C4C"/>
    <w:rsid w:val="7B4577BB"/>
    <w:rsid w:val="7B8E308F"/>
    <w:rsid w:val="7EED1353"/>
    <w:rsid w:val="7FF8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200" w:firstLineChars="200"/>
    </w:pPr>
    <w:rPr>
      <w:rFonts w:ascii="Times New Roman" w:hAnsi="Times New Roman" w:eastAsia="仿宋_GB2312"/>
      <w:sz w:val="32"/>
    </w:rPr>
  </w:style>
  <w:style w:type="paragraph" w:styleId="4">
    <w:name w:val="Body Text"/>
    <w:basedOn w:val="1"/>
    <w:next w:val="5"/>
    <w:qFormat/>
    <w:uiPriority w:val="1"/>
    <w:pPr>
      <w:spacing w:before="7"/>
      <w:ind w:left="114"/>
    </w:pPr>
    <w:rPr>
      <w:rFonts w:ascii="仿宋_GB2312" w:hAnsi="仿宋_GB2312" w:eastAsia="仿宋_GB2312" w:cs="仿宋_GB2312"/>
      <w:b/>
      <w:bCs/>
      <w:i/>
      <w:sz w:val="32"/>
      <w:szCs w:val="32"/>
    </w:rPr>
  </w:style>
  <w:style w:type="paragraph" w:styleId="5">
    <w:name w:val="toc 5"/>
    <w:basedOn w:val="1"/>
    <w:next w:val="1"/>
    <w:qFormat/>
    <w:uiPriority w:val="0"/>
    <w:pPr>
      <w:ind w:left="1680" w:leftChars="800"/>
    </w:pPr>
    <w:rPr>
      <w:rFonts w:ascii="Times New Roman" w:hAnsi="Times New Roman"/>
    </w:rPr>
  </w:style>
  <w:style w:type="paragraph" w:styleId="6">
    <w:name w:val="footer"/>
    <w:basedOn w:val="1"/>
    <w:link w:val="14"/>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qFormat/>
    <w:uiPriority w:val="0"/>
    <w:pPr>
      <w:spacing w:line="660" w:lineRule="exact"/>
      <w:ind w:firstLine="705"/>
    </w:pPr>
    <w:rPr>
      <w:rFonts w:ascii="仿宋_GB2312" w:eastAsia="仿宋_GB2312"/>
      <w:color w:val="000000"/>
      <w:sz w:val="36"/>
      <w:szCs w:val="3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7"/>
    <w:semiHidden/>
    <w:qFormat/>
    <w:uiPriority w:val="99"/>
    <w:rPr>
      <w:sz w:val="18"/>
      <w:szCs w:val="18"/>
    </w:rPr>
  </w:style>
  <w:style w:type="character" w:customStyle="1" w:styleId="14">
    <w:name w:val="页脚 Char"/>
    <w:basedOn w:val="12"/>
    <w:link w:val="6"/>
    <w:semiHidden/>
    <w:qFormat/>
    <w:uiPriority w:val="99"/>
    <w:rPr>
      <w:sz w:val="18"/>
      <w:szCs w:val="18"/>
    </w:rPr>
  </w:style>
  <w:style w:type="paragraph" w:customStyle="1" w:styleId="15">
    <w:name w:val="HtmlNormal"/>
    <w:basedOn w:val="1"/>
    <w:qFormat/>
    <w:uiPriority w:val="0"/>
    <w:pPr>
      <w:widowControl/>
      <w:spacing w:before="100" w:beforeAutospacing="1" w:after="100" w:afterAutospacing="1" w:line="432" w:lineRule="auto"/>
      <w:jc w:val="left"/>
      <w:textAlignment w:val="baseline"/>
    </w:pPr>
    <w:rPr>
      <w:rFonts w:ascii="新宋体" w:hAnsi="新宋体" w:eastAsia="新宋体" w:cs="Times New Roman"/>
      <w:kern w:val="0"/>
      <w:sz w:val="24"/>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112</Words>
  <Characters>642</Characters>
  <Lines>5</Lines>
  <Paragraphs>1</Paragraphs>
  <TotalTime>5</TotalTime>
  <ScaleCrop>false</ScaleCrop>
  <LinksUpToDate>false</LinksUpToDate>
  <CharactersWithSpaces>753</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2018-11-14T01:10:00Z</dcterms:created>
  <dc:creator>陈东</dc:creator>
  <cp:lastModifiedBy>：罘想、</cp:lastModifiedBy>
  <cp:lastPrinted>2021-03-30T04:24:00Z</cp:lastPrinted>
  <dcterms:modified xsi:type="dcterms:W3CDTF">2021-04-02T04:56:53Z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6E5459FF5C26472588D51EEA0487CD41</vt:lpwstr>
  </property>
</Properties>
</file>